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10402057" w:displacedByCustomXml="next"/>
    <w:bookmarkStart w:id="1" w:name="_Toc457550818" w:displacedByCustomXml="next"/>
    <w:sdt>
      <w:sdtPr>
        <w:rPr>
          <w:rFonts w:ascii="Times New Roman" w:eastAsiaTheme="minorEastAsia" w:hAnsi="Times New Roman" w:cs="Times New Roman"/>
          <w:sz w:val="2"/>
          <w:szCs w:val="24"/>
          <w:lang w:val="es-ES_tradnl" w:eastAsia="es-ES"/>
        </w:rPr>
        <w:id w:val="-1951234547"/>
        <w:docPartObj>
          <w:docPartGallery w:val="Cover Pages"/>
          <w:docPartUnique/>
        </w:docPartObj>
      </w:sdtPr>
      <w:sdtEndPr>
        <w:rPr>
          <w:rFonts w:eastAsiaTheme="majorEastAsia"/>
          <w:b/>
          <w:bCs/>
          <w:color w:val="FF0000"/>
          <w:sz w:val="22"/>
          <w:szCs w:val="26"/>
          <w:lang w:val="es-GT"/>
        </w:rPr>
      </w:sdtEndPr>
      <w:sdtContent>
        <w:p w14:paraId="5BB9D6E1" w14:textId="404F80AD" w:rsidR="00DB22E2" w:rsidRPr="00BF230D" w:rsidRDefault="009A1471">
          <w:pPr>
            <w:pStyle w:val="Sinespaciado"/>
            <w:rPr>
              <w:rFonts w:ascii="Times New Roman" w:hAnsi="Times New Roman" w:cs="Times New Roman"/>
              <w:sz w:val="2"/>
            </w:rPr>
          </w:pPr>
          <w:r w:rsidRPr="00BF230D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9730031" wp14:editId="046655F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2344615"/>
                    <wp:effectExtent l="0" t="0" r="0" b="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344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1F497D" w:themeColor="text2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35CAA98" w14:textId="78F041A5" w:rsidR="00C17472" w:rsidRPr="00445193" w:rsidRDefault="00C17472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497D" w:themeColor="text2"/>
                                        <w:sz w:val="68"/>
                                        <w:szCs w:val="68"/>
                                      </w:rPr>
                                    </w:pPr>
                                    <w:r w:rsidRPr="00BF230D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1F497D" w:themeColor="text2"/>
                                        <w:sz w:val="64"/>
                                        <w:szCs w:val="64"/>
                                      </w:rPr>
                                      <w:t>Informe de las Finanz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1F497D" w:themeColor="text2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Pr="00BF230D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1F497D" w:themeColor="text2"/>
                                        <w:sz w:val="64"/>
                                        <w:szCs w:val="64"/>
                                      </w:rPr>
                                      <w:t>s públicas</w:t>
                                    </w:r>
                                  </w:p>
                                </w:sdtContent>
                              </w:sdt>
                              <w:p w14:paraId="050956C6" w14:textId="471E5145" w:rsidR="00C17472" w:rsidRPr="00BF230D" w:rsidRDefault="00DD6B26">
                                <w:pPr>
                                  <w:pStyle w:val="Sinespaciado"/>
                                  <w:spacing w:before="12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1747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Primer Trimestre</w:t>
                                    </w:r>
                                  </w:sdtContent>
                                </w:sdt>
                                <w:r w:rsidR="00C17472" w:rsidRPr="00BF230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  <w:r w:rsidR="00C17472" w:rsidRPr="00BF230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52529D54" w14:textId="77777777" w:rsidR="00C17472" w:rsidRDefault="00C1747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3003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84.6pt;z-index:25169203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aps/>
                              <w:color w:val="1F497D" w:themeColor="text2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35CAA98" w14:textId="78F041A5" w:rsidR="00C17472" w:rsidRPr="00445193" w:rsidRDefault="00C17472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497D" w:themeColor="text2"/>
                                  <w:sz w:val="68"/>
                                  <w:szCs w:val="68"/>
                                </w:rPr>
                              </w:pPr>
                              <w:r w:rsidRPr="00BF230D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1F497D" w:themeColor="text2"/>
                                  <w:sz w:val="64"/>
                                  <w:szCs w:val="64"/>
                                </w:rPr>
                                <w:t>Informe de las Finanz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1F497D" w:themeColor="text2"/>
                                  <w:sz w:val="64"/>
                                  <w:szCs w:val="64"/>
                                </w:rPr>
                                <w:t>A</w:t>
                              </w:r>
                              <w:r w:rsidRPr="00BF230D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1F497D" w:themeColor="text2"/>
                                  <w:sz w:val="64"/>
                                  <w:szCs w:val="64"/>
                                </w:rPr>
                                <w:t>s públicas</w:t>
                              </w:r>
                            </w:p>
                          </w:sdtContent>
                        </w:sdt>
                        <w:p w14:paraId="050956C6" w14:textId="471E5145" w:rsidR="00C17472" w:rsidRPr="00BF230D" w:rsidRDefault="00DD6B26">
                          <w:pPr>
                            <w:pStyle w:val="Sinespaciado"/>
                            <w:spacing w:before="12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1747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6"/>
                                  <w:szCs w:val="36"/>
                                </w:rPr>
                                <w:t>Primer Trimestre</w:t>
                              </w:r>
                            </w:sdtContent>
                          </w:sdt>
                          <w:r w:rsidR="00C17472" w:rsidRPr="00BF230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F81BD" w:themeColor="accent1"/>
                              <w:sz w:val="36"/>
                              <w:szCs w:val="36"/>
                            </w:rPr>
                            <w:t xml:space="preserve"> 2020</w:t>
                          </w:r>
                          <w:r w:rsidR="00C17472" w:rsidRPr="00BF230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s-ES"/>
                            </w:rPr>
                            <w:t xml:space="preserve"> </w:t>
                          </w:r>
                        </w:p>
                        <w:p w14:paraId="52529D54" w14:textId="77777777" w:rsidR="00C17472" w:rsidRDefault="00C1747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3756366" w14:textId="2E3848D9" w:rsidR="00DB22E2" w:rsidRPr="00BF230D" w:rsidRDefault="00DB22E2" w:rsidP="00CD34D6">
          <w:pPr>
            <w:rPr>
              <w:rFonts w:cs="Times New Roman"/>
            </w:rPr>
          </w:pPr>
          <w:r w:rsidRPr="00BF230D">
            <w:rPr>
              <w:rFonts w:cs="Times New Roman"/>
              <w:noProof/>
              <w:color w:val="4F81BD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91008" behindDoc="1" locked="0" layoutInCell="1" allowOverlap="1" wp14:anchorId="05D5122E" wp14:editId="5A272F86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6B30E80" id="Grupo 2" o:spid="_x0000_s1026" style="position:absolute;margin-left:0;margin-top:0;width:432.65pt;height:448.55pt;z-index:-25162547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Pr="00BF230D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C570617" wp14:editId="2191751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3981A5" w14:textId="47703BAC" w:rsidR="00C17472" w:rsidRPr="00BF230D" w:rsidRDefault="00DD6B26">
                                <w:pPr>
                                  <w:pStyle w:val="Sinespaciado"/>
                                  <w:jc w:val="right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17472" w:rsidRPr="00BF230D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Dirección de Análisis y Política Fiscal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2F3E6E" w14:textId="1330AD25" w:rsidR="00C17472" w:rsidRPr="00BF230D" w:rsidRDefault="00C17472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BF230D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Ministerio de Finanzas Públicas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70617" id="Cuadro de texto 69" o:spid="_x0000_s1027" type="#_x0000_t202" style="position:absolute;left:0;text-align:left;margin-left:0;margin-top:0;width:468pt;height:29.5pt;z-index:25168998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14:paraId="013981A5" w14:textId="47703BAC" w:rsidR="00C17472" w:rsidRPr="00BF230D" w:rsidRDefault="00DD6B26">
                          <w:pPr>
                            <w:pStyle w:val="Sinespaciado"/>
                            <w:jc w:val="right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7472" w:rsidRPr="00BF230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Dirección de Análisis y Política Fiscal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162F3E6E" w14:textId="1330AD25" w:rsidR="00C17472" w:rsidRPr="00BF230D" w:rsidRDefault="00C17472">
                              <w:pPr>
                                <w:pStyle w:val="Sinespaciado"/>
                                <w:jc w:val="right"/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 w:rsidRPr="00BF230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Ministerio de Finanzas Públicas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83944DB" w14:textId="4FB7B066" w:rsidR="00DB22E2" w:rsidRPr="00BF230D" w:rsidRDefault="009A1471" w:rsidP="00CD34D6">
          <w:pPr>
            <w:spacing w:after="200" w:line="276" w:lineRule="auto"/>
            <w:rPr>
              <w:rFonts w:eastAsiaTheme="majorEastAsia" w:cs="Times New Roman"/>
              <w:b/>
              <w:bCs/>
              <w:color w:val="FF0000"/>
              <w:szCs w:val="26"/>
            </w:rPr>
          </w:pPr>
          <w:r w:rsidRPr="00BF230D">
            <w:rPr>
              <w:rFonts w:eastAsiaTheme="majorEastAsia" w:cs="Times New Roman"/>
              <w:b/>
              <w:bCs/>
              <w:noProof/>
              <w:color w:val="FF0000"/>
              <w:szCs w:val="26"/>
            </w:rPr>
            <w:drawing>
              <wp:anchor distT="0" distB="0" distL="114300" distR="114300" simplePos="0" relativeHeight="251693056" behindDoc="1" locked="0" layoutInCell="1" allowOverlap="1" wp14:anchorId="405DD89E" wp14:editId="26DDC1D9">
                <wp:simplePos x="0" y="0"/>
                <wp:positionH relativeFrom="margin">
                  <wp:posOffset>1464799</wp:posOffset>
                </wp:positionH>
                <wp:positionV relativeFrom="paragraph">
                  <wp:posOffset>2640917</wp:posOffset>
                </wp:positionV>
                <wp:extent cx="2736653" cy="1242647"/>
                <wp:effectExtent l="0" t="0" r="698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653" cy="12426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22E2" w:rsidRPr="00BF230D">
            <w:rPr>
              <w:rFonts w:eastAsiaTheme="majorEastAsia" w:cs="Times New Roman"/>
              <w:b/>
              <w:bCs/>
              <w:color w:val="FF0000"/>
              <w:szCs w:val="26"/>
            </w:rP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FF0000"/>
          <w:sz w:val="24"/>
          <w:szCs w:val="24"/>
          <w:lang w:val="es-ES" w:eastAsia="es-ES"/>
        </w:rPr>
        <w:id w:val="-141261393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12B0682B" w14:textId="77777777" w:rsidR="0032588B" w:rsidRPr="00BF230D" w:rsidRDefault="0032588B" w:rsidP="000D58D6">
          <w:pPr>
            <w:pStyle w:val="TtuloTDC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BF230D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Contenido</w:t>
          </w:r>
        </w:p>
        <w:p w14:paraId="1498E71B" w14:textId="77777777" w:rsidR="00F3006C" w:rsidRPr="00BF230D" w:rsidRDefault="00F3006C" w:rsidP="00CD34D6">
          <w:pPr>
            <w:spacing w:line="276" w:lineRule="auto"/>
            <w:rPr>
              <w:rFonts w:cs="Times New Roman"/>
              <w:color w:val="FF0000"/>
              <w:lang w:val="es-ES" w:eastAsia="es-GT"/>
            </w:rPr>
          </w:pPr>
        </w:p>
        <w:p w14:paraId="4E676F46" w14:textId="06E9AD51" w:rsidR="00C17472" w:rsidRDefault="0032588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r w:rsidRPr="00BF230D">
            <w:rPr>
              <w:color w:val="FF0000"/>
              <w:lang w:val="es-ES_tradnl"/>
            </w:rPr>
            <w:fldChar w:fldCharType="begin"/>
          </w:r>
          <w:r w:rsidRPr="00BF230D">
            <w:rPr>
              <w:color w:val="FF0000"/>
            </w:rPr>
            <w:instrText xml:space="preserve"> TOC \o "1-3" \h \z \u </w:instrText>
          </w:r>
          <w:r w:rsidRPr="00BF230D">
            <w:rPr>
              <w:color w:val="FF0000"/>
              <w:lang w:val="es-ES_tradnl"/>
            </w:rPr>
            <w:fldChar w:fldCharType="separate"/>
          </w:r>
          <w:hyperlink w:anchor="_Toc42069100" w:history="1">
            <w:r w:rsidR="00C17472" w:rsidRPr="0093033B">
              <w:rPr>
                <w:rStyle w:val="Hipervnculo"/>
                <w:lang w:val="es-ES_tradnl"/>
              </w:rPr>
              <w:t>Introducción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_Toc42069100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2</w:t>
            </w:r>
            <w:r w:rsidR="00C17472">
              <w:rPr>
                <w:webHidden/>
              </w:rPr>
              <w:fldChar w:fldCharType="end"/>
            </w:r>
          </w:hyperlink>
        </w:p>
        <w:p w14:paraId="7124A279" w14:textId="11469B23" w:rsidR="00C17472" w:rsidRDefault="00DD6B2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hyperlink w:anchor="_Toc42069101" w:history="1">
            <w:r w:rsidR="00C17472" w:rsidRPr="0093033B">
              <w:rPr>
                <w:rStyle w:val="Hipervnculo"/>
                <w:lang w:val="es-ES_tradnl"/>
              </w:rPr>
              <w:t>I.</w:t>
            </w:r>
            <w:r w:rsidR="00C17472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lang w:val="es-ES_tradnl"/>
              </w:rPr>
              <w:t>Ingresos del Gobierno Central Presupuestario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_Toc42069101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2</w:t>
            </w:r>
            <w:r w:rsidR="00C17472">
              <w:rPr>
                <w:webHidden/>
              </w:rPr>
              <w:fldChar w:fldCharType="end"/>
            </w:r>
          </w:hyperlink>
        </w:p>
        <w:p w14:paraId="2579F831" w14:textId="711BBE31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02" w:history="1">
            <w:r w:rsidR="00C17472" w:rsidRPr="0093033B">
              <w:rPr>
                <w:rStyle w:val="Hipervnculo"/>
                <w:rFonts w:cs="Times New Roman"/>
                <w:noProof/>
              </w:rPr>
              <w:t>1.1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Deterioro de los ingresos a marzo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_Toc42069102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2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53332992" w14:textId="0335D69D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03" w:history="1">
            <w:r w:rsidR="00C17472" w:rsidRPr="0093033B">
              <w:rPr>
                <w:rStyle w:val="Hipervnculo"/>
                <w:rFonts w:cs="Times New Roman"/>
                <w:noProof/>
              </w:rPr>
              <w:t>1.2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Rendimiento negativo de los Impuestos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_Toc42069103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3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6CCEA199" w14:textId="45CF6F46" w:rsidR="00C17472" w:rsidRDefault="00DD6B2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hyperlink w:anchor="_Toc42069107" w:history="1">
            <w:r w:rsidR="00C17472" w:rsidRPr="0093033B">
              <w:rPr>
                <w:rStyle w:val="Hipervnculo"/>
                <w:lang w:val="es-ES_tradnl"/>
              </w:rPr>
              <w:t>II.</w:t>
            </w:r>
            <w:r w:rsidR="00C17472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lang w:val="es-ES_tradnl"/>
              </w:rPr>
              <w:t>Gasto Público del Gobierno Central Presupuestario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_Toc42069107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4</w:t>
            </w:r>
            <w:r w:rsidR="00C17472">
              <w:rPr>
                <w:webHidden/>
              </w:rPr>
              <w:fldChar w:fldCharType="end"/>
            </w:r>
          </w:hyperlink>
        </w:p>
        <w:p w14:paraId="4E1A696F" w14:textId="2ED4302C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10" w:history="1">
            <w:r w:rsidR="00C17472" w:rsidRPr="0093033B">
              <w:rPr>
                <w:rStyle w:val="Hipervnculo"/>
                <w:rFonts w:cs="Times New Roman"/>
                <w:noProof/>
              </w:rPr>
              <w:t>2.1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Se eleva la ejecución del gasto a marzo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_Toc42069110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4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664BB518" w14:textId="0D2C4E6F" w:rsidR="00C17472" w:rsidRDefault="00DD6B2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hyperlink w:anchor="_Toc42069111" w:history="1">
            <w:r w:rsidR="00C17472" w:rsidRPr="0093033B">
              <w:rPr>
                <w:rStyle w:val="Hipervnculo"/>
                <w:lang w:val="es-MX"/>
              </w:rPr>
              <w:t>III.</w:t>
            </w:r>
            <w:r w:rsidR="00C17472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lang w:val="es-MX"/>
              </w:rPr>
              <w:t>Transacciones en Activos No Financieros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_Toc42069111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5</w:t>
            </w:r>
            <w:r w:rsidR="00C17472">
              <w:rPr>
                <w:webHidden/>
              </w:rPr>
              <w:fldChar w:fldCharType="end"/>
            </w:r>
          </w:hyperlink>
        </w:p>
        <w:p w14:paraId="016F3788" w14:textId="119F48D1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13" w:history="1">
            <w:r w:rsidR="00C17472" w:rsidRPr="0093033B">
              <w:rPr>
                <w:rStyle w:val="Hipervnculo"/>
                <w:rFonts w:cs="Times New Roman"/>
                <w:noProof/>
              </w:rPr>
              <w:t>3.1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Menor inversión en activos no financieros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_Toc42069113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5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22B21FC5" w14:textId="29D3114C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14" w:history="1">
            <w:r w:rsidR="00C17472" w:rsidRPr="0093033B">
              <w:rPr>
                <w:rStyle w:val="Hipervnculo"/>
                <w:rFonts w:cs="Times New Roman"/>
                <w:noProof/>
              </w:rPr>
              <w:t>3.2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Aumento en el incurrimiento neto de pasivos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_Toc42069114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6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2679875C" w14:textId="636DE466" w:rsidR="00C17472" w:rsidRDefault="00DD6B2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hyperlink w:anchor="_Toc42069115" w:history="1">
            <w:r w:rsidR="00C17472" w:rsidRPr="0093033B">
              <w:rPr>
                <w:rStyle w:val="Hipervnculo"/>
                <w:lang w:val="es-ES_tradnl"/>
              </w:rPr>
              <w:t>IV.</w:t>
            </w:r>
            <w:r w:rsidR="00C17472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lang w:val="es-ES_tradnl"/>
              </w:rPr>
              <w:t>Erogaciones del Gobierno Central Presupuestario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_Toc42069115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6</w:t>
            </w:r>
            <w:r w:rsidR="00C17472">
              <w:rPr>
                <w:webHidden/>
              </w:rPr>
              <w:fldChar w:fldCharType="end"/>
            </w:r>
          </w:hyperlink>
        </w:p>
        <w:p w14:paraId="1F4A9BA5" w14:textId="724E66FF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20" w:history="1">
            <w:r w:rsidR="00C17472" w:rsidRPr="0093033B">
              <w:rPr>
                <w:rStyle w:val="Hipervnculo"/>
                <w:rFonts w:cs="Times New Roman"/>
                <w:noProof/>
              </w:rPr>
              <w:t>4.1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Erogaciones por Función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_Toc42069120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6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0C41C227" w14:textId="4ECD9EB3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21" w:history="1">
            <w:r w:rsidR="00C17472" w:rsidRPr="0093033B">
              <w:rPr>
                <w:rStyle w:val="Hipervnculo"/>
                <w:rFonts w:cs="Times New Roman"/>
                <w:noProof/>
              </w:rPr>
              <w:t>4.2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Grado de Ejecución Presupuestaria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_Toc42069121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7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51C20CA6" w14:textId="6DD4622F" w:rsidR="00C17472" w:rsidRDefault="00DD6B2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s-GT"/>
            </w:rPr>
          </w:pPr>
          <w:hyperlink w:anchor="_Toc42069122" w:history="1">
            <w:r w:rsidR="00C17472" w:rsidRPr="0093033B">
              <w:rPr>
                <w:rStyle w:val="Hipervnculo"/>
                <w:lang w:val="es-MX"/>
              </w:rPr>
              <w:t>V.</w:t>
            </w:r>
            <w:r w:rsidR="00C17472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lang w:val="es-MX"/>
              </w:rPr>
              <w:t>Resultado Fiscal</w:t>
            </w:r>
            <w:r w:rsidR="00C17472">
              <w:rPr>
                <w:webHidden/>
              </w:rPr>
              <w:tab/>
            </w:r>
            <w:r w:rsidR="00C17472">
              <w:rPr>
                <w:webHidden/>
              </w:rPr>
              <w:fldChar w:fldCharType="begin"/>
            </w:r>
            <w:r w:rsidR="00C17472">
              <w:rPr>
                <w:webHidden/>
              </w:rPr>
              <w:instrText xml:space="preserve"> PAGEREF _Toc42069122 \h </w:instrText>
            </w:r>
            <w:r w:rsidR="00C17472">
              <w:rPr>
                <w:webHidden/>
              </w:rPr>
            </w:r>
            <w:r w:rsidR="00C17472">
              <w:rPr>
                <w:webHidden/>
              </w:rPr>
              <w:fldChar w:fldCharType="separate"/>
            </w:r>
            <w:r w:rsidR="00433722">
              <w:rPr>
                <w:webHidden/>
              </w:rPr>
              <w:t>8</w:t>
            </w:r>
            <w:r w:rsidR="00C17472">
              <w:rPr>
                <w:webHidden/>
              </w:rPr>
              <w:fldChar w:fldCharType="end"/>
            </w:r>
          </w:hyperlink>
        </w:p>
        <w:p w14:paraId="1C6C2086" w14:textId="10E00955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24" w:history="1">
            <w:r w:rsidR="00C17472" w:rsidRPr="0093033B">
              <w:rPr>
                <w:rStyle w:val="Hipervnculo"/>
                <w:rFonts w:cs="Times New Roman"/>
                <w:noProof/>
              </w:rPr>
              <w:t>5.1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Resultado operativo bruto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_Toc42069124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8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7B287929" w14:textId="1B022D83" w:rsidR="00C17472" w:rsidRDefault="00DD6B26">
          <w:pPr>
            <w:pStyle w:val="TDC2"/>
            <w:rPr>
              <w:rFonts w:asciiTheme="minorHAnsi" w:hAnsiTheme="minorHAnsi"/>
              <w:noProof/>
              <w:szCs w:val="22"/>
              <w:lang w:eastAsia="es-GT"/>
            </w:rPr>
          </w:pPr>
          <w:hyperlink w:anchor="_Toc42069125" w:history="1">
            <w:r w:rsidR="00C17472" w:rsidRPr="0093033B">
              <w:rPr>
                <w:rStyle w:val="Hipervnculo"/>
                <w:rFonts w:cs="Times New Roman"/>
                <w:noProof/>
              </w:rPr>
              <w:t>5.2</w:t>
            </w:r>
            <w:r w:rsidR="00C17472">
              <w:rPr>
                <w:rFonts w:asciiTheme="minorHAnsi" w:hAnsiTheme="minorHAnsi"/>
                <w:noProof/>
                <w:szCs w:val="22"/>
                <w:lang w:eastAsia="es-GT"/>
              </w:rPr>
              <w:tab/>
            </w:r>
            <w:r w:rsidR="00C17472" w:rsidRPr="0093033B">
              <w:rPr>
                <w:rStyle w:val="Hipervnculo"/>
                <w:rFonts w:cs="Times New Roman"/>
                <w:noProof/>
              </w:rPr>
              <w:t>Préstamo o Endeudamiento Bruto (Déficit o Superávit fiscal)</w:t>
            </w:r>
            <w:r w:rsidR="00C17472">
              <w:rPr>
                <w:noProof/>
                <w:webHidden/>
              </w:rPr>
              <w:tab/>
            </w:r>
            <w:r w:rsidR="00C17472">
              <w:rPr>
                <w:noProof/>
                <w:webHidden/>
              </w:rPr>
              <w:fldChar w:fldCharType="begin"/>
            </w:r>
            <w:r w:rsidR="00C17472">
              <w:rPr>
                <w:noProof/>
                <w:webHidden/>
              </w:rPr>
              <w:instrText xml:space="preserve"> PAGEREF _Toc42069125 \h </w:instrText>
            </w:r>
            <w:r w:rsidR="00C17472">
              <w:rPr>
                <w:noProof/>
                <w:webHidden/>
              </w:rPr>
            </w:r>
            <w:r w:rsidR="00C17472">
              <w:rPr>
                <w:noProof/>
                <w:webHidden/>
              </w:rPr>
              <w:fldChar w:fldCharType="separate"/>
            </w:r>
            <w:r w:rsidR="00433722">
              <w:rPr>
                <w:noProof/>
                <w:webHidden/>
              </w:rPr>
              <w:t>8</w:t>
            </w:r>
            <w:r w:rsidR="00C17472">
              <w:rPr>
                <w:noProof/>
                <w:webHidden/>
              </w:rPr>
              <w:fldChar w:fldCharType="end"/>
            </w:r>
          </w:hyperlink>
        </w:p>
        <w:p w14:paraId="0DEFDA39" w14:textId="727F05EE" w:rsidR="0032588B" w:rsidRPr="00BF230D" w:rsidRDefault="0032588B" w:rsidP="00CD34D6">
          <w:pPr>
            <w:spacing w:line="276" w:lineRule="auto"/>
            <w:rPr>
              <w:rFonts w:cs="Times New Roman"/>
              <w:color w:val="FF0000"/>
            </w:rPr>
          </w:pPr>
          <w:r w:rsidRPr="00BF230D">
            <w:rPr>
              <w:rFonts w:cs="Times New Roman"/>
              <w:bCs/>
              <w:color w:val="FF0000"/>
              <w:lang w:val="es-ES"/>
            </w:rPr>
            <w:fldChar w:fldCharType="end"/>
          </w:r>
        </w:p>
      </w:sdtContent>
    </w:sdt>
    <w:p w14:paraId="762B340A" w14:textId="77777777" w:rsidR="0041288C" w:rsidRPr="00BF230D" w:rsidRDefault="0041288C" w:rsidP="00CD34D6">
      <w:pPr>
        <w:spacing w:after="200" w:line="276" w:lineRule="auto"/>
        <w:rPr>
          <w:rFonts w:eastAsiaTheme="majorEastAsia" w:cs="Times New Roman"/>
          <w:b/>
          <w:bCs/>
          <w:szCs w:val="26"/>
        </w:rPr>
      </w:pPr>
      <w:bookmarkStart w:id="2" w:name="_Toc33180541"/>
      <w:r w:rsidRPr="00BF230D">
        <w:rPr>
          <w:rFonts w:eastAsiaTheme="majorEastAsia" w:cs="Times New Roman"/>
          <w:b/>
          <w:bCs/>
          <w:szCs w:val="26"/>
        </w:rPr>
        <w:br w:type="page"/>
      </w:r>
    </w:p>
    <w:p w14:paraId="444D81BA" w14:textId="4973AFC7" w:rsidR="0041288C" w:rsidRPr="00BF230D" w:rsidRDefault="0041288C" w:rsidP="0041288C">
      <w:pPr>
        <w:pStyle w:val="Prrafodelista"/>
        <w:ind w:left="0"/>
        <w:outlineLvl w:val="0"/>
        <w:rPr>
          <w:rFonts w:eastAsiaTheme="majorEastAsia" w:cs="Times New Roman"/>
          <w:b/>
          <w:bCs/>
          <w:sz w:val="24"/>
          <w:szCs w:val="26"/>
          <w:lang w:val="es-ES_tradnl" w:eastAsia="es-ES"/>
        </w:rPr>
      </w:pPr>
      <w:bookmarkStart w:id="3" w:name="_Toc42069100"/>
      <w:r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lastRenderedPageBreak/>
        <w:t>Introducción</w:t>
      </w:r>
      <w:bookmarkEnd w:id="2"/>
      <w:bookmarkEnd w:id="3"/>
    </w:p>
    <w:p w14:paraId="6C76A338" w14:textId="77777777" w:rsidR="0041288C" w:rsidRPr="00BF230D" w:rsidRDefault="0041288C" w:rsidP="0041288C">
      <w:pPr>
        <w:pStyle w:val="Prrafodelista"/>
        <w:ind w:left="709"/>
        <w:outlineLvl w:val="0"/>
        <w:rPr>
          <w:rFonts w:eastAsiaTheme="majorEastAsia" w:cs="Times New Roman"/>
          <w:b/>
          <w:bCs/>
          <w:color w:val="FF0000"/>
          <w:sz w:val="24"/>
          <w:szCs w:val="26"/>
          <w:lang w:val="es-ES_tradnl" w:eastAsia="es-ES"/>
        </w:rPr>
      </w:pPr>
    </w:p>
    <w:p w14:paraId="39EBB9E0" w14:textId="07CDE5D8" w:rsidR="00974B8B" w:rsidRPr="00BF230D" w:rsidRDefault="0041288C" w:rsidP="00F55D61">
      <w:pPr>
        <w:rPr>
          <w:lang w:val="es-MX"/>
        </w:rPr>
      </w:pPr>
      <w:r w:rsidRPr="00BF230D">
        <w:rPr>
          <w:lang w:val="es-MX"/>
        </w:rPr>
        <w:t>A continuación, se presenta el Informe</w:t>
      </w:r>
      <w:r w:rsidR="00445193" w:rsidRPr="00BF230D">
        <w:rPr>
          <w:lang w:val="es-MX"/>
        </w:rPr>
        <w:t xml:space="preserve"> </w:t>
      </w:r>
      <w:r w:rsidR="00D63046">
        <w:rPr>
          <w:lang w:val="es-MX"/>
        </w:rPr>
        <w:t xml:space="preserve">Trimestral </w:t>
      </w:r>
      <w:r w:rsidRPr="00BF230D">
        <w:rPr>
          <w:lang w:val="es-MX"/>
        </w:rPr>
        <w:t>sobre l</w:t>
      </w:r>
      <w:r w:rsidR="00D63046">
        <w:rPr>
          <w:lang w:val="es-MX"/>
        </w:rPr>
        <w:t>a ejecución financiera del gobierno central presupuestario sobre la base de las</w:t>
      </w:r>
      <w:r w:rsidRPr="00BF230D">
        <w:rPr>
          <w:lang w:val="es-MX"/>
        </w:rPr>
        <w:t xml:space="preserve"> Estadísticas de las Finanzas Públicas -EFP- el cual contiene los aspectos más relevantes de la evolución de las variables fiscales</w:t>
      </w:r>
      <w:r w:rsidR="00D63046">
        <w:rPr>
          <w:lang w:val="es-MX"/>
        </w:rPr>
        <w:t>, así como las</w:t>
      </w:r>
      <w:r w:rsidR="00AA5C09">
        <w:rPr>
          <w:lang w:val="es-MX"/>
        </w:rPr>
        <w:t xml:space="preserve"> </w:t>
      </w:r>
      <w:r w:rsidRPr="00BF230D">
        <w:rPr>
          <w:lang w:val="es-MX"/>
        </w:rPr>
        <w:t>principales acciones en materia de ingresos, gasto, transacciones en activos y pasivos y las erogaciones por función del Gobierno</w:t>
      </w:r>
      <w:r w:rsidR="004E3572" w:rsidRPr="00BF230D">
        <w:rPr>
          <w:lang w:val="es-MX"/>
        </w:rPr>
        <w:t xml:space="preserve">. </w:t>
      </w:r>
    </w:p>
    <w:p w14:paraId="670D14B2" w14:textId="77777777" w:rsidR="00974B8B" w:rsidRPr="00BF230D" w:rsidRDefault="00974B8B" w:rsidP="00F55D61">
      <w:pPr>
        <w:rPr>
          <w:lang w:val="es-MX"/>
        </w:rPr>
      </w:pPr>
    </w:p>
    <w:p w14:paraId="18FF9F69" w14:textId="253A6057" w:rsidR="0041288C" w:rsidRPr="00BF230D" w:rsidRDefault="004E3572" w:rsidP="00F55D61">
      <w:pPr>
        <w:rPr>
          <w:lang w:val="es-MX"/>
        </w:rPr>
      </w:pPr>
      <w:r w:rsidRPr="00BF230D">
        <w:rPr>
          <w:lang w:val="es-MX"/>
        </w:rPr>
        <w:t xml:space="preserve">Cabe mencionar que dicha información </w:t>
      </w:r>
      <w:r w:rsidRPr="00DC3BE4">
        <w:rPr>
          <w:b/>
          <w:bCs/>
          <w:lang w:val="es-MX"/>
        </w:rPr>
        <w:t xml:space="preserve">utiliza los </w:t>
      </w:r>
      <w:r w:rsidR="005F2296" w:rsidRPr="00DC3BE4">
        <w:rPr>
          <w:b/>
          <w:bCs/>
          <w:lang w:val="es-MX"/>
        </w:rPr>
        <w:t>estándares internacionales</w:t>
      </w:r>
      <w:r w:rsidR="005F2296" w:rsidRPr="00BF230D">
        <w:rPr>
          <w:lang w:val="es-MX"/>
        </w:rPr>
        <w:t xml:space="preserve"> establecidos en el Manual de Estadísticas de las Finanzas Públicas 2014 -MEFP-</w:t>
      </w:r>
      <w:r w:rsidR="00974B8B" w:rsidRPr="00BF230D">
        <w:rPr>
          <w:lang w:val="es-MX"/>
        </w:rPr>
        <w:t xml:space="preserve"> del Fondo Monetario </w:t>
      </w:r>
      <w:r w:rsidR="00F35956" w:rsidRPr="00BF230D">
        <w:rPr>
          <w:lang w:val="es-MX"/>
        </w:rPr>
        <w:t xml:space="preserve">Internacional </w:t>
      </w:r>
      <w:r w:rsidR="0041288C" w:rsidRPr="00BF230D">
        <w:rPr>
          <w:lang w:val="es-MX"/>
        </w:rPr>
        <w:t>-FMI- por lo que existen diferencias en comparación</w:t>
      </w:r>
      <w:r w:rsidR="00774760" w:rsidRPr="00BF230D">
        <w:rPr>
          <w:lang w:val="es-MX"/>
        </w:rPr>
        <w:t xml:space="preserve"> a las cifras que son publicadas </w:t>
      </w:r>
      <w:r w:rsidR="0041288C" w:rsidRPr="00BF230D">
        <w:rPr>
          <w:lang w:val="es-MX"/>
        </w:rPr>
        <w:t>utiliza</w:t>
      </w:r>
      <w:r w:rsidR="00774760" w:rsidRPr="00BF230D">
        <w:rPr>
          <w:lang w:val="es-MX"/>
        </w:rPr>
        <w:t>ndo</w:t>
      </w:r>
      <w:r w:rsidR="0041288C" w:rsidRPr="00BF230D">
        <w:rPr>
          <w:lang w:val="es-MX"/>
        </w:rPr>
        <w:t xml:space="preserve"> la metodología nacional.</w:t>
      </w:r>
      <w:r w:rsidR="00F8714D" w:rsidRPr="00BF230D">
        <w:rPr>
          <w:lang w:val="es-MX"/>
        </w:rPr>
        <w:t xml:space="preserve"> </w:t>
      </w:r>
      <w:r w:rsidR="003D1490" w:rsidRPr="00BF230D">
        <w:rPr>
          <w:lang w:val="es-MX"/>
        </w:rPr>
        <w:t xml:space="preserve">En caso de cualquier </w:t>
      </w:r>
      <w:r w:rsidR="00E507D9" w:rsidRPr="00BF230D">
        <w:rPr>
          <w:lang w:val="es-MX"/>
        </w:rPr>
        <w:t>consulta sobre estas diferencias</w:t>
      </w:r>
      <w:r w:rsidR="002710C2" w:rsidRPr="00BF230D">
        <w:rPr>
          <w:lang w:val="es-MX"/>
        </w:rPr>
        <w:t xml:space="preserve">, puede consultar los documentos de </w:t>
      </w:r>
      <w:r w:rsidR="00C139AC" w:rsidRPr="00BF230D">
        <w:rPr>
          <w:lang w:val="es-MX"/>
        </w:rPr>
        <w:t>“</w:t>
      </w:r>
      <w:r w:rsidR="002710C2" w:rsidRPr="00BF230D">
        <w:rPr>
          <w:lang w:val="es-MX"/>
        </w:rPr>
        <w:t>Metodología</w:t>
      </w:r>
      <w:r w:rsidR="00C139AC" w:rsidRPr="00BF230D">
        <w:rPr>
          <w:lang w:val="es-MX"/>
        </w:rPr>
        <w:t>”</w:t>
      </w:r>
      <w:r w:rsidR="002710C2" w:rsidRPr="00BF230D">
        <w:rPr>
          <w:lang w:val="es-MX"/>
        </w:rPr>
        <w:t xml:space="preserve"> y de </w:t>
      </w:r>
      <w:r w:rsidR="00C139AC" w:rsidRPr="00BF230D">
        <w:rPr>
          <w:lang w:val="es-MX"/>
        </w:rPr>
        <w:t xml:space="preserve">“Metadatos” </w:t>
      </w:r>
      <w:r w:rsidR="00F42DC5" w:rsidRPr="00BF230D">
        <w:rPr>
          <w:lang w:val="es-MX"/>
        </w:rPr>
        <w:t xml:space="preserve">que se encuentran publicados en nuestra </w:t>
      </w:r>
      <w:r w:rsidR="00DB2A3F" w:rsidRPr="00BF230D">
        <w:rPr>
          <w:lang w:val="es-MX"/>
        </w:rPr>
        <w:t>página</w:t>
      </w:r>
      <w:r w:rsidR="00F42DC5" w:rsidRPr="00BF230D">
        <w:rPr>
          <w:lang w:val="es-MX"/>
        </w:rPr>
        <w:t xml:space="preserve"> web.</w:t>
      </w:r>
    </w:p>
    <w:p w14:paraId="18AF4B48" w14:textId="27456913" w:rsidR="002E3F7A" w:rsidRPr="00BF230D" w:rsidRDefault="002E3F7A" w:rsidP="00CD34D6">
      <w:pPr>
        <w:spacing w:after="200" w:line="276" w:lineRule="auto"/>
        <w:rPr>
          <w:rFonts w:eastAsiaTheme="majorEastAsia" w:cs="Times New Roman"/>
          <w:b/>
          <w:bCs/>
          <w:szCs w:val="26"/>
          <w:lang w:val="es-MX"/>
        </w:rPr>
      </w:pPr>
    </w:p>
    <w:p w14:paraId="5741AEC2" w14:textId="23DE093D" w:rsidR="00E66A98" w:rsidRDefault="00A52F77" w:rsidP="00E66A98">
      <w:pPr>
        <w:pStyle w:val="Prrafodelista"/>
        <w:numPr>
          <w:ilvl w:val="0"/>
          <w:numId w:val="1"/>
        </w:numPr>
        <w:ind w:left="284" w:hanging="284"/>
        <w:outlineLvl w:val="0"/>
        <w:rPr>
          <w:rFonts w:eastAsiaTheme="majorEastAsia" w:cs="Times New Roman"/>
          <w:b/>
          <w:bCs/>
          <w:sz w:val="24"/>
          <w:szCs w:val="26"/>
          <w:lang w:val="es-ES_tradnl" w:eastAsia="es-ES"/>
        </w:rPr>
      </w:pPr>
      <w:bookmarkStart w:id="4" w:name="_Toc42069101"/>
      <w:bookmarkEnd w:id="1"/>
      <w:bookmarkEnd w:id="0"/>
      <w:r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>Ingresos</w:t>
      </w:r>
      <w:r w:rsidR="00E66A98"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 xml:space="preserve"> </w:t>
      </w:r>
      <w:r w:rsidR="00301F9F"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>del Gobierno Central Presupuestario</w:t>
      </w:r>
      <w:bookmarkEnd w:id="4"/>
    </w:p>
    <w:p w14:paraId="18153EEB" w14:textId="77777777" w:rsidR="00F7278A" w:rsidRDefault="00F7278A" w:rsidP="004E66CE">
      <w:pPr>
        <w:pStyle w:val="Prrafodelista"/>
        <w:ind w:left="284"/>
        <w:outlineLvl w:val="0"/>
        <w:rPr>
          <w:rFonts w:eastAsiaTheme="majorEastAsia" w:cs="Times New Roman"/>
          <w:b/>
          <w:bCs/>
          <w:sz w:val="24"/>
          <w:szCs w:val="26"/>
          <w:lang w:val="es-ES_tradnl" w:eastAsia="es-ES"/>
        </w:rPr>
      </w:pPr>
    </w:p>
    <w:p w14:paraId="6A6624E2" w14:textId="5C5E2A96" w:rsidR="00AC0121" w:rsidRPr="004E66CE" w:rsidRDefault="00DB2C33" w:rsidP="00AB5E67">
      <w:pPr>
        <w:rPr>
          <w:rFonts w:eastAsiaTheme="majorEastAsia"/>
          <w:lang w:val="es-ES_tradnl"/>
        </w:rPr>
      </w:pPr>
      <w:r>
        <w:rPr>
          <w:rFonts w:eastAsiaTheme="majorEastAsia"/>
          <w:noProof/>
          <w:lang w:val="es-ES_tradnl"/>
        </w:rPr>
        <w:drawing>
          <wp:inline distT="0" distB="0" distL="0" distR="0" wp14:anchorId="2394B235" wp14:editId="76AA065C">
            <wp:extent cx="5836920" cy="876300"/>
            <wp:effectExtent l="76200" t="38100" r="87630" b="1333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3BC969A" w14:textId="168C826F" w:rsidR="00E66A98" w:rsidRPr="006F07C5" w:rsidRDefault="00E66A98" w:rsidP="006F07C5">
      <w:pPr>
        <w:pStyle w:val="Prrafodelista"/>
        <w:ind w:left="709"/>
        <w:outlineLvl w:val="0"/>
        <w:rPr>
          <w:rFonts w:eastAsiaTheme="majorEastAsia" w:cs="Times New Roman"/>
          <w:b/>
          <w:bCs/>
          <w:sz w:val="20"/>
          <w:szCs w:val="26"/>
          <w:lang w:val="es-ES_tradnl" w:eastAsia="es-ES"/>
        </w:rPr>
      </w:pPr>
      <w:r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 xml:space="preserve"> </w:t>
      </w:r>
      <w:bookmarkStart w:id="5" w:name="_Toc471986924"/>
      <w:bookmarkStart w:id="6" w:name="_Toc471987059"/>
      <w:bookmarkStart w:id="7" w:name="_Toc471987107"/>
      <w:bookmarkStart w:id="8" w:name="_Toc471987129"/>
      <w:bookmarkStart w:id="9" w:name="_Toc472082158"/>
      <w:bookmarkStart w:id="10" w:name="_Toc472082190"/>
      <w:bookmarkStart w:id="11" w:name="_Toc472089905"/>
      <w:bookmarkStart w:id="12" w:name="_Toc472089928"/>
      <w:bookmarkStart w:id="13" w:name="_Toc505346056"/>
      <w:bookmarkStart w:id="14" w:name="_Toc505349869"/>
      <w:bookmarkStart w:id="15" w:name="_Toc534985827"/>
      <w:bookmarkStart w:id="16" w:name="_Toc534988220"/>
      <w:bookmarkStart w:id="17" w:name="_Toc31611540"/>
      <w:bookmarkStart w:id="18" w:name="_Toc31612756"/>
      <w:bookmarkStart w:id="19" w:name="_Toc31612788"/>
      <w:bookmarkStart w:id="20" w:name="_Toc31614814"/>
      <w:bookmarkStart w:id="21" w:name="_Toc31614846"/>
      <w:bookmarkStart w:id="22" w:name="_Toc31618683"/>
      <w:bookmarkStart w:id="23" w:name="_Toc31618716"/>
      <w:bookmarkStart w:id="24" w:name="_Toc31624492"/>
      <w:bookmarkStart w:id="25" w:name="_Toc31625344"/>
      <w:bookmarkStart w:id="26" w:name="_Toc31626799"/>
      <w:bookmarkStart w:id="27" w:name="_Toc31811250"/>
      <w:bookmarkStart w:id="28" w:name="_Toc31811695"/>
      <w:bookmarkStart w:id="29" w:name="_Toc31971858"/>
      <w:bookmarkStart w:id="30" w:name="_Toc32230880"/>
      <w:bookmarkStart w:id="31" w:name="_Toc33109779"/>
      <w:bookmarkStart w:id="32" w:name="_Toc33109822"/>
      <w:bookmarkStart w:id="33" w:name="_Toc33180543"/>
      <w:bookmarkStart w:id="34" w:name="_Toc33180637"/>
      <w:bookmarkStart w:id="35" w:name="_Toc33193534"/>
      <w:bookmarkStart w:id="36" w:name="_Toc33193573"/>
      <w:bookmarkStart w:id="37" w:name="_Toc33196770"/>
      <w:bookmarkStart w:id="38" w:name="_Toc40691746"/>
      <w:bookmarkStart w:id="39" w:name="_Toc40959149"/>
      <w:bookmarkStart w:id="40" w:name="_Toc40975983"/>
      <w:bookmarkStart w:id="41" w:name="_Toc40976052"/>
      <w:bookmarkStart w:id="42" w:name="_Toc40993307"/>
      <w:bookmarkStart w:id="43" w:name="_Toc40993689"/>
      <w:bookmarkStart w:id="44" w:name="_Toc4103756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74EA4DCF" w14:textId="27749486" w:rsidR="00E66A98" w:rsidRPr="00BF230D" w:rsidRDefault="006F07C5" w:rsidP="00E66A98">
      <w:pPr>
        <w:pStyle w:val="Ttulo2"/>
        <w:numPr>
          <w:ilvl w:val="1"/>
          <w:numId w:val="11"/>
        </w:numPr>
        <w:spacing w:before="0"/>
        <w:ind w:left="567"/>
        <w:rPr>
          <w:rFonts w:ascii="Times New Roman" w:hAnsi="Times New Roman" w:cs="Times New Roman"/>
          <w:color w:val="auto"/>
          <w:sz w:val="24"/>
        </w:rPr>
      </w:pPr>
      <w:bookmarkStart w:id="45" w:name="_Toc471987131"/>
      <w:bookmarkStart w:id="46" w:name="_Toc42069102"/>
      <w:r w:rsidRPr="006F07C5">
        <w:rPr>
          <w:rFonts w:ascii="Times New Roman" w:hAnsi="Times New Roman" w:cs="Times New Roman"/>
          <w:noProof/>
          <w:color w:val="auto"/>
          <w:sz w:val="24"/>
        </w:rPr>
        <w:drawing>
          <wp:anchor distT="0" distB="0" distL="114300" distR="114300" simplePos="0" relativeHeight="251696128" behindDoc="0" locked="0" layoutInCell="1" allowOverlap="1" wp14:anchorId="5FD7B7C9" wp14:editId="79B0AD7A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2604770" cy="1914525"/>
            <wp:effectExtent l="0" t="0" r="5080" b="0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F2A421C-BF48-4BCB-A6BA-46C31DDFE6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9A9">
        <w:rPr>
          <w:rFonts w:ascii="Times New Roman" w:hAnsi="Times New Roman" w:cs="Times New Roman"/>
          <w:color w:val="auto"/>
          <w:sz w:val="24"/>
        </w:rPr>
        <w:t xml:space="preserve">Deterioro </w:t>
      </w:r>
      <w:r w:rsidR="00E66A98" w:rsidRPr="00BF230D">
        <w:rPr>
          <w:rFonts w:ascii="Times New Roman" w:hAnsi="Times New Roman" w:cs="Times New Roman"/>
          <w:color w:val="auto"/>
          <w:sz w:val="24"/>
        </w:rPr>
        <w:t>de</w:t>
      </w:r>
      <w:bookmarkEnd w:id="45"/>
      <w:r w:rsidR="00B554CE">
        <w:rPr>
          <w:rFonts w:ascii="Times New Roman" w:hAnsi="Times New Roman" w:cs="Times New Roman"/>
          <w:color w:val="auto"/>
          <w:sz w:val="24"/>
        </w:rPr>
        <w:t xml:space="preserve"> los ingresos </w:t>
      </w:r>
      <w:r w:rsidR="00F74BA4">
        <w:rPr>
          <w:rFonts w:ascii="Times New Roman" w:hAnsi="Times New Roman" w:cs="Times New Roman"/>
          <w:color w:val="auto"/>
          <w:sz w:val="24"/>
        </w:rPr>
        <w:t>a</w:t>
      </w:r>
      <w:r w:rsidR="00785485" w:rsidRPr="00BF230D">
        <w:rPr>
          <w:rFonts w:ascii="Times New Roman" w:hAnsi="Times New Roman" w:cs="Times New Roman"/>
          <w:color w:val="auto"/>
          <w:sz w:val="24"/>
        </w:rPr>
        <w:t xml:space="preserve"> marzo</w:t>
      </w:r>
      <w:bookmarkEnd w:id="46"/>
    </w:p>
    <w:p w14:paraId="5BB8036C" w14:textId="76E4F7C6" w:rsidR="00E66A98" w:rsidRPr="00BF230D" w:rsidRDefault="00E66A98" w:rsidP="00CD34D6">
      <w:pPr>
        <w:rPr>
          <w:rFonts w:cs="Times New Roman"/>
          <w:b/>
          <w:color w:val="FF0000"/>
          <w:lang w:val="es-MX"/>
        </w:rPr>
      </w:pPr>
    </w:p>
    <w:p w14:paraId="02299AF5" w14:textId="60B8280F" w:rsidR="00BB2D18" w:rsidRPr="00BF230D" w:rsidRDefault="00E66A98" w:rsidP="00CD34D6">
      <w:pPr>
        <w:rPr>
          <w:rFonts w:cs="Times New Roman"/>
          <w:szCs w:val="22"/>
        </w:rPr>
      </w:pPr>
      <w:r w:rsidRPr="00BF230D">
        <w:rPr>
          <w:rFonts w:cs="Times New Roman"/>
          <w:szCs w:val="22"/>
        </w:rPr>
        <w:t xml:space="preserve">Cifras preliminares </w:t>
      </w:r>
      <w:r w:rsidR="006D5B3B" w:rsidRPr="00BF230D">
        <w:rPr>
          <w:rFonts w:cs="Times New Roman"/>
          <w:szCs w:val="22"/>
        </w:rPr>
        <w:t>muestran</w:t>
      </w:r>
      <w:r w:rsidRPr="00BF230D">
        <w:rPr>
          <w:rFonts w:cs="Times New Roman"/>
          <w:szCs w:val="22"/>
        </w:rPr>
        <w:t xml:space="preserve"> un</w:t>
      </w:r>
      <w:r w:rsidR="008D7183">
        <w:rPr>
          <w:rFonts w:cs="Times New Roman"/>
          <w:szCs w:val="22"/>
        </w:rPr>
        <w:t xml:space="preserve">a </w:t>
      </w:r>
      <w:r w:rsidR="0080008D">
        <w:rPr>
          <w:rFonts w:cs="Times New Roman"/>
          <w:szCs w:val="22"/>
        </w:rPr>
        <w:t xml:space="preserve">disminución </w:t>
      </w:r>
      <w:r w:rsidRPr="00BF230D">
        <w:rPr>
          <w:rFonts w:cs="Times New Roman"/>
          <w:szCs w:val="22"/>
        </w:rPr>
        <w:t>interanual de</w:t>
      </w:r>
      <w:r w:rsidR="0080008D">
        <w:rPr>
          <w:rFonts w:cs="Times New Roman"/>
          <w:szCs w:val="22"/>
        </w:rPr>
        <w:t>l</w:t>
      </w:r>
      <w:r w:rsidRPr="00BF230D">
        <w:rPr>
          <w:rFonts w:cs="Times New Roman"/>
          <w:szCs w:val="22"/>
        </w:rPr>
        <w:t xml:space="preserve"> </w:t>
      </w:r>
      <w:r w:rsidR="00990D47">
        <w:rPr>
          <w:rFonts w:cs="Times New Roman"/>
          <w:szCs w:val="22"/>
        </w:rPr>
        <w:t>2.9</w:t>
      </w:r>
      <w:r w:rsidRPr="00BF230D">
        <w:rPr>
          <w:rFonts w:cs="Times New Roman"/>
          <w:szCs w:val="22"/>
        </w:rPr>
        <w:t>%</w:t>
      </w:r>
      <w:r w:rsidR="0080008D">
        <w:rPr>
          <w:rFonts w:cs="Times New Roman"/>
          <w:szCs w:val="22"/>
        </w:rPr>
        <w:t xml:space="preserve"> en los ingresos </w:t>
      </w:r>
      <w:r w:rsidR="000A2D19">
        <w:rPr>
          <w:rFonts w:cs="Times New Roman"/>
          <w:szCs w:val="22"/>
        </w:rPr>
        <w:t>totales</w:t>
      </w:r>
      <w:r w:rsidR="000B46D9">
        <w:rPr>
          <w:rFonts w:cs="Times New Roman"/>
          <w:szCs w:val="22"/>
        </w:rPr>
        <w:t xml:space="preserve"> acumulados al mes de marzo</w:t>
      </w:r>
      <w:r w:rsidR="00B65661">
        <w:rPr>
          <w:rFonts w:cs="Times New Roman"/>
          <w:szCs w:val="22"/>
        </w:rPr>
        <w:t xml:space="preserve"> de</w:t>
      </w:r>
      <w:r w:rsidR="000D4B4D">
        <w:rPr>
          <w:rFonts w:cs="Times New Roman"/>
          <w:szCs w:val="22"/>
        </w:rPr>
        <w:t>l año</w:t>
      </w:r>
      <w:r w:rsidR="00B65661">
        <w:rPr>
          <w:rFonts w:cs="Times New Roman"/>
          <w:szCs w:val="22"/>
        </w:rPr>
        <w:t xml:space="preserve"> 2020,</w:t>
      </w:r>
      <w:r w:rsidR="00303787">
        <w:rPr>
          <w:rFonts w:cs="Times New Roman"/>
          <w:szCs w:val="22"/>
        </w:rPr>
        <w:t xml:space="preserve"> cifra muy por debajo de lo observado en 2018 (</w:t>
      </w:r>
      <w:r w:rsidR="00BF28C6">
        <w:rPr>
          <w:rFonts w:cs="Times New Roman"/>
          <w:szCs w:val="22"/>
        </w:rPr>
        <w:t>3.8%)</w:t>
      </w:r>
      <w:r w:rsidR="00303787">
        <w:rPr>
          <w:rFonts w:cs="Times New Roman"/>
          <w:szCs w:val="22"/>
        </w:rPr>
        <w:t xml:space="preserve"> y 2019</w:t>
      </w:r>
      <w:r w:rsidR="00BF28C6">
        <w:rPr>
          <w:rFonts w:cs="Times New Roman"/>
          <w:szCs w:val="22"/>
        </w:rPr>
        <w:t xml:space="preserve"> (5.0%)</w:t>
      </w:r>
      <w:r w:rsidR="002E3F7A" w:rsidRPr="00BF230D">
        <w:rPr>
          <w:rFonts w:cs="Times New Roman"/>
          <w:szCs w:val="22"/>
        </w:rPr>
        <w:t>. D</w:t>
      </w:r>
      <w:r w:rsidRPr="00BF230D">
        <w:rPr>
          <w:rFonts w:cs="Times New Roman"/>
          <w:szCs w:val="22"/>
        </w:rPr>
        <w:t>ich</w:t>
      </w:r>
      <w:r w:rsidR="008B4A57">
        <w:rPr>
          <w:rFonts w:cs="Times New Roman"/>
          <w:szCs w:val="22"/>
        </w:rPr>
        <w:t>a</w:t>
      </w:r>
      <w:r w:rsidRPr="00BF230D">
        <w:rPr>
          <w:rFonts w:cs="Times New Roman"/>
          <w:szCs w:val="22"/>
        </w:rPr>
        <w:t xml:space="preserve"> </w:t>
      </w:r>
      <w:r w:rsidR="008B4A57">
        <w:rPr>
          <w:rFonts w:cs="Times New Roman"/>
          <w:szCs w:val="22"/>
        </w:rPr>
        <w:t xml:space="preserve">disminución </w:t>
      </w:r>
      <w:r w:rsidRPr="00BF230D">
        <w:rPr>
          <w:rFonts w:cs="Times New Roman"/>
          <w:szCs w:val="22"/>
        </w:rPr>
        <w:t>se</w:t>
      </w:r>
      <w:r w:rsidR="007464DE">
        <w:rPr>
          <w:rFonts w:cs="Times New Roman"/>
          <w:szCs w:val="22"/>
        </w:rPr>
        <w:t xml:space="preserve"> atribuye</w:t>
      </w:r>
      <w:r w:rsidR="00D63046">
        <w:rPr>
          <w:rFonts w:cs="Times New Roman"/>
          <w:szCs w:val="22"/>
        </w:rPr>
        <w:t xml:space="preserve"> en buena medida</w:t>
      </w:r>
      <w:r w:rsidR="007464DE">
        <w:rPr>
          <w:rFonts w:cs="Times New Roman"/>
          <w:szCs w:val="22"/>
        </w:rPr>
        <w:t xml:space="preserve"> a </w:t>
      </w:r>
      <w:r w:rsidR="00D345E2">
        <w:rPr>
          <w:rFonts w:cs="Times New Roman"/>
          <w:szCs w:val="22"/>
        </w:rPr>
        <w:t>las circunstancias</w:t>
      </w:r>
      <w:r w:rsidR="00252321">
        <w:rPr>
          <w:rFonts w:cs="Times New Roman"/>
          <w:szCs w:val="22"/>
        </w:rPr>
        <w:t xml:space="preserve"> derivad</w:t>
      </w:r>
      <w:r w:rsidR="00D63046">
        <w:rPr>
          <w:rFonts w:cs="Times New Roman"/>
          <w:szCs w:val="22"/>
        </w:rPr>
        <w:t>as</w:t>
      </w:r>
      <w:r w:rsidR="00252321">
        <w:rPr>
          <w:rFonts w:cs="Times New Roman"/>
          <w:szCs w:val="22"/>
        </w:rPr>
        <w:t xml:space="preserve"> </w:t>
      </w:r>
      <w:r w:rsidR="007464DE">
        <w:rPr>
          <w:rFonts w:cs="Times New Roman"/>
          <w:szCs w:val="22"/>
        </w:rPr>
        <w:t xml:space="preserve">de </w:t>
      </w:r>
      <w:r w:rsidR="009C3CE0">
        <w:rPr>
          <w:rFonts w:cs="Times New Roman"/>
          <w:szCs w:val="22"/>
        </w:rPr>
        <w:t>la pandemia del COVID</w:t>
      </w:r>
      <w:r w:rsidR="003F5B5D">
        <w:rPr>
          <w:rFonts w:cs="Times New Roman"/>
          <w:szCs w:val="22"/>
        </w:rPr>
        <w:t>-19</w:t>
      </w:r>
      <w:r w:rsidR="00DB37FD">
        <w:rPr>
          <w:rFonts w:cs="Times New Roman"/>
          <w:szCs w:val="22"/>
        </w:rPr>
        <w:t>, e</w:t>
      </w:r>
      <w:r w:rsidR="00731622">
        <w:rPr>
          <w:rFonts w:cs="Times New Roman"/>
          <w:szCs w:val="22"/>
        </w:rPr>
        <w:t xml:space="preserve">ntre </w:t>
      </w:r>
      <w:r w:rsidR="000E3E7A">
        <w:rPr>
          <w:rFonts w:cs="Times New Roman"/>
          <w:szCs w:val="22"/>
        </w:rPr>
        <w:t xml:space="preserve">ellas </w:t>
      </w:r>
      <w:r w:rsidR="00731622">
        <w:rPr>
          <w:rFonts w:cs="Times New Roman"/>
          <w:szCs w:val="22"/>
        </w:rPr>
        <w:t xml:space="preserve">se encuentran </w:t>
      </w:r>
      <w:r w:rsidR="006F1D7D">
        <w:rPr>
          <w:rFonts w:cs="Times New Roman"/>
          <w:szCs w:val="22"/>
        </w:rPr>
        <w:t>l</w:t>
      </w:r>
      <w:r w:rsidR="00053F58">
        <w:rPr>
          <w:rFonts w:cs="Times New Roman"/>
          <w:szCs w:val="22"/>
        </w:rPr>
        <w:t>a</w:t>
      </w:r>
      <w:r w:rsidR="006F1D7D">
        <w:rPr>
          <w:rFonts w:cs="Times New Roman"/>
          <w:szCs w:val="22"/>
        </w:rPr>
        <w:t xml:space="preserve">s disposiciones </w:t>
      </w:r>
      <w:r w:rsidR="00AB5FE9" w:rsidRPr="00AB5FE9">
        <w:rPr>
          <w:rFonts w:cs="Times New Roman"/>
          <w:szCs w:val="22"/>
        </w:rPr>
        <w:t>impuestas por el gobierno</w:t>
      </w:r>
      <w:r w:rsidR="006F1D7D">
        <w:rPr>
          <w:rFonts w:cs="Times New Roman"/>
          <w:szCs w:val="22"/>
        </w:rPr>
        <w:t xml:space="preserve"> </w:t>
      </w:r>
      <w:r w:rsidR="00053F58">
        <w:rPr>
          <w:rFonts w:cs="Times New Roman"/>
          <w:szCs w:val="22"/>
        </w:rPr>
        <w:t xml:space="preserve">como el </w:t>
      </w:r>
      <w:r w:rsidR="00AB5FE9" w:rsidRPr="00AB5FE9">
        <w:rPr>
          <w:rFonts w:cs="Times New Roman"/>
          <w:szCs w:val="22"/>
        </w:rPr>
        <w:t>cierre temporal de una buena parte de las actividades económicas como medida de contención</w:t>
      </w:r>
      <w:r w:rsidR="00D63046">
        <w:rPr>
          <w:rFonts w:cs="Times New Roman"/>
          <w:szCs w:val="22"/>
        </w:rPr>
        <w:t xml:space="preserve"> y el diferimiento en el pago de impuestos,</w:t>
      </w:r>
      <w:r w:rsidR="00053F58">
        <w:rPr>
          <w:rFonts w:cs="Times New Roman"/>
          <w:szCs w:val="22"/>
        </w:rPr>
        <w:t xml:space="preserve"> además de</w:t>
      </w:r>
      <w:r w:rsidR="00731622">
        <w:rPr>
          <w:rFonts w:cs="Times New Roman"/>
          <w:szCs w:val="22"/>
        </w:rPr>
        <w:t xml:space="preserve"> las</w:t>
      </w:r>
      <w:r w:rsidR="00AB5FE9" w:rsidRPr="00AB5FE9">
        <w:rPr>
          <w:rFonts w:cs="Times New Roman"/>
          <w:szCs w:val="22"/>
        </w:rPr>
        <w:t xml:space="preserve"> medidas similares adoptadas por países socios, </w:t>
      </w:r>
      <w:r w:rsidR="00E215C8">
        <w:rPr>
          <w:rFonts w:cs="Times New Roman"/>
          <w:szCs w:val="22"/>
        </w:rPr>
        <w:t xml:space="preserve">lo cual tiene un efecto negativo </w:t>
      </w:r>
      <w:r w:rsidR="00CF54AF">
        <w:rPr>
          <w:rFonts w:cs="Times New Roman"/>
          <w:szCs w:val="22"/>
        </w:rPr>
        <w:t>en la actividad económica</w:t>
      </w:r>
      <w:r w:rsidR="00F74BA4">
        <w:rPr>
          <w:rFonts w:cs="Times New Roman"/>
          <w:szCs w:val="22"/>
        </w:rPr>
        <w:t>.</w:t>
      </w:r>
    </w:p>
    <w:p w14:paraId="10D9521B" w14:textId="28A77DF8" w:rsidR="000C7076" w:rsidRPr="00BF230D" w:rsidRDefault="008009F2" w:rsidP="00E97769">
      <w:pPr>
        <w:pStyle w:val="Prrafodelista"/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D275014" wp14:editId="5001050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965190" cy="1813560"/>
            <wp:effectExtent l="0" t="0" r="0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076" w:rsidRPr="00BF230D">
        <w:t>*Cifras preliminares</w:t>
      </w:r>
    </w:p>
    <w:p w14:paraId="3D681E93" w14:textId="6C2027E5" w:rsidR="00E66A98" w:rsidRDefault="000C7076" w:rsidP="00E97769">
      <w:pPr>
        <w:pStyle w:val="Prrafodelista"/>
        <w:jc w:val="right"/>
      </w:pPr>
      <w:r w:rsidRPr="00BF230D">
        <w:t xml:space="preserve"> Fuente: MINFIN</w:t>
      </w:r>
    </w:p>
    <w:p w14:paraId="08696CE1" w14:textId="77777777" w:rsidR="008009F2" w:rsidRDefault="008009F2" w:rsidP="009B7E27">
      <w:pPr>
        <w:pStyle w:val="Prrafodelista"/>
        <w:jc w:val="left"/>
      </w:pPr>
    </w:p>
    <w:p w14:paraId="60DA4BB9" w14:textId="77777777" w:rsidR="008009F2" w:rsidRDefault="008009F2" w:rsidP="009B7E27">
      <w:pPr>
        <w:pStyle w:val="Prrafodelista"/>
        <w:jc w:val="left"/>
      </w:pPr>
    </w:p>
    <w:p w14:paraId="29591CE9" w14:textId="77777777" w:rsidR="008009F2" w:rsidRDefault="008009F2" w:rsidP="009B7E27">
      <w:pPr>
        <w:pStyle w:val="Prrafodelista"/>
        <w:jc w:val="left"/>
      </w:pPr>
    </w:p>
    <w:p w14:paraId="35C4A746" w14:textId="77777777" w:rsidR="008009F2" w:rsidRDefault="008009F2" w:rsidP="009B7E27">
      <w:pPr>
        <w:pStyle w:val="Prrafodelista"/>
        <w:jc w:val="left"/>
      </w:pPr>
    </w:p>
    <w:p w14:paraId="67ACB411" w14:textId="77777777" w:rsidR="008009F2" w:rsidRDefault="008009F2" w:rsidP="009B7E27">
      <w:pPr>
        <w:pStyle w:val="Prrafodelista"/>
        <w:jc w:val="left"/>
      </w:pPr>
    </w:p>
    <w:p w14:paraId="6E7A33C6" w14:textId="77777777" w:rsidR="008009F2" w:rsidRDefault="008009F2" w:rsidP="009B7E27">
      <w:pPr>
        <w:pStyle w:val="Prrafodelista"/>
        <w:jc w:val="left"/>
      </w:pPr>
    </w:p>
    <w:p w14:paraId="5151B57F" w14:textId="77777777" w:rsidR="008009F2" w:rsidRDefault="008009F2" w:rsidP="009B7E27">
      <w:pPr>
        <w:pStyle w:val="Prrafodelista"/>
        <w:jc w:val="left"/>
      </w:pPr>
    </w:p>
    <w:p w14:paraId="66EF8E42" w14:textId="77777777" w:rsidR="008009F2" w:rsidRDefault="008009F2" w:rsidP="009B7E27">
      <w:pPr>
        <w:pStyle w:val="Prrafodelista"/>
        <w:jc w:val="left"/>
      </w:pPr>
    </w:p>
    <w:p w14:paraId="76CD3807" w14:textId="77777777" w:rsidR="008009F2" w:rsidRDefault="008009F2" w:rsidP="009B7E27">
      <w:pPr>
        <w:pStyle w:val="Prrafodelista"/>
        <w:jc w:val="left"/>
      </w:pPr>
    </w:p>
    <w:p w14:paraId="1670A5F7" w14:textId="77777777" w:rsidR="008009F2" w:rsidRDefault="008009F2" w:rsidP="009B7E27">
      <w:pPr>
        <w:pStyle w:val="Prrafodelista"/>
        <w:jc w:val="left"/>
      </w:pPr>
    </w:p>
    <w:p w14:paraId="44D239E9" w14:textId="77777777" w:rsidR="008009F2" w:rsidRDefault="008009F2" w:rsidP="009B7E27">
      <w:pPr>
        <w:pStyle w:val="Prrafodelista"/>
        <w:jc w:val="left"/>
      </w:pPr>
    </w:p>
    <w:p w14:paraId="584D895A" w14:textId="77777777" w:rsidR="008009F2" w:rsidRDefault="008009F2" w:rsidP="009B7E27">
      <w:pPr>
        <w:pStyle w:val="Prrafodelista"/>
        <w:jc w:val="left"/>
      </w:pPr>
    </w:p>
    <w:p w14:paraId="2AB4F7D1" w14:textId="77777777" w:rsidR="008009F2" w:rsidRDefault="008009F2" w:rsidP="009B7E27">
      <w:pPr>
        <w:pStyle w:val="Prrafodelista"/>
        <w:jc w:val="left"/>
      </w:pPr>
    </w:p>
    <w:p w14:paraId="71B89983" w14:textId="77777777" w:rsidR="008009F2" w:rsidRDefault="008009F2" w:rsidP="009B7E27">
      <w:pPr>
        <w:pStyle w:val="Prrafodelista"/>
        <w:jc w:val="left"/>
      </w:pPr>
    </w:p>
    <w:p w14:paraId="2FAFFDF7" w14:textId="7B93D754" w:rsidR="009B7E27" w:rsidRPr="00BF230D" w:rsidRDefault="009B7E27" w:rsidP="004E66CE">
      <w:pPr>
        <w:pStyle w:val="Prrafodelista"/>
        <w:jc w:val="left"/>
      </w:pPr>
      <w:r w:rsidRPr="00BF230D">
        <w:t>*Cifras preliminares</w:t>
      </w:r>
    </w:p>
    <w:p w14:paraId="0DAEAD66" w14:textId="2EF9807C" w:rsidR="009B7E27" w:rsidRDefault="009B7E27" w:rsidP="00EC1BCA">
      <w:pPr>
        <w:pStyle w:val="Prrafodelista"/>
        <w:jc w:val="left"/>
      </w:pPr>
      <w:r w:rsidRPr="00BF230D">
        <w:t xml:space="preserve"> Fuente: MINFIN</w:t>
      </w:r>
    </w:p>
    <w:p w14:paraId="2AF07344" w14:textId="7D39B150" w:rsidR="00E66A98" w:rsidRDefault="00922816" w:rsidP="00E66A98">
      <w:pPr>
        <w:pStyle w:val="Ttulo2"/>
        <w:numPr>
          <w:ilvl w:val="1"/>
          <w:numId w:val="11"/>
        </w:numPr>
        <w:spacing w:before="0"/>
        <w:ind w:left="567"/>
        <w:rPr>
          <w:rFonts w:ascii="Times New Roman" w:hAnsi="Times New Roman" w:cs="Times New Roman"/>
          <w:color w:val="auto"/>
          <w:sz w:val="24"/>
        </w:rPr>
      </w:pPr>
      <w:bookmarkStart w:id="47" w:name="_Toc471987132"/>
      <w:bookmarkStart w:id="48" w:name="_Toc42069103"/>
      <w:r>
        <w:rPr>
          <w:rFonts w:ascii="Times New Roman" w:hAnsi="Times New Roman" w:cs="Times New Roman"/>
          <w:color w:val="auto"/>
          <w:sz w:val="24"/>
        </w:rPr>
        <w:lastRenderedPageBreak/>
        <w:t>Rendimiento</w:t>
      </w:r>
      <w:r w:rsidR="00064BA9">
        <w:rPr>
          <w:rFonts w:ascii="Times New Roman" w:hAnsi="Times New Roman" w:cs="Times New Roman"/>
          <w:color w:val="auto"/>
          <w:sz w:val="24"/>
        </w:rPr>
        <w:t xml:space="preserve"> negativo</w:t>
      </w:r>
      <w:r w:rsidR="00E66A98" w:rsidRPr="00BF230D">
        <w:rPr>
          <w:rFonts w:ascii="Times New Roman" w:hAnsi="Times New Roman" w:cs="Times New Roman"/>
          <w:color w:val="auto"/>
          <w:sz w:val="24"/>
        </w:rPr>
        <w:t xml:space="preserve"> </w:t>
      </w:r>
      <w:bookmarkEnd w:id="47"/>
      <w:r w:rsidR="000D4B4D">
        <w:rPr>
          <w:rFonts w:ascii="Times New Roman" w:hAnsi="Times New Roman" w:cs="Times New Roman"/>
          <w:color w:val="auto"/>
          <w:sz w:val="24"/>
        </w:rPr>
        <w:t>de los Impuestos</w:t>
      </w:r>
      <w:bookmarkEnd w:id="48"/>
    </w:p>
    <w:p w14:paraId="2758FB12" w14:textId="115AADFA" w:rsidR="00756949" w:rsidRDefault="00B761F0" w:rsidP="00F55D61">
      <w:r>
        <w:t xml:space="preserve">La cifra acumulada de los ingresos tributarios al </w:t>
      </w:r>
      <w:r w:rsidR="00D63046">
        <w:t>cierre del primer trimestre</w:t>
      </w:r>
      <w:r>
        <w:t xml:space="preserve"> muestra</w:t>
      </w:r>
      <w:r w:rsidR="00064BA9">
        <w:t xml:space="preserve"> un deterioro del </w:t>
      </w:r>
      <w:r w:rsidR="00626C24">
        <w:t>3.</w:t>
      </w:r>
      <w:r w:rsidR="00E5234E">
        <w:t>8</w:t>
      </w:r>
      <w:r w:rsidR="00064BA9">
        <w:t>% respecto a lo observado al mismo período del año 2019.</w:t>
      </w:r>
      <w:r w:rsidR="0068029C">
        <w:t xml:space="preserve"> </w:t>
      </w:r>
      <w:r w:rsidR="00456466">
        <w:t>L</w:t>
      </w:r>
      <w:r w:rsidR="0068029C">
        <w:t>os impuestos sobre</w:t>
      </w:r>
      <w:r w:rsidR="00EF1944">
        <w:t xml:space="preserve"> </w:t>
      </w:r>
      <w:r w:rsidR="00EF1944" w:rsidRPr="00EF1944">
        <w:t xml:space="preserve">el ingreso, las utilidades y las ganancias de capital </w:t>
      </w:r>
      <w:r w:rsidR="00C44DDC">
        <w:t>tuvieron una disminución de Q36</w:t>
      </w:r>
      <w:r w:rsidR="003C37F1">
        <w:t>1</w:t>
      </w:r>
      <w:r w:rsidR="00C44DDC">
        <w:t>.</w:t>
      </w:r>
      <w:r w:rsidR="003C37F1">
        <w:t>8</w:t>
      </w:r>
      <w:r w:rsidR="008356BF">
        <w:t xml:space="preserve"> millones</w:t>
      </w:r>
      <w:r w:rsidR="00C44DDC">
        <w:t xml:space="preserve"> (una variación interanual negativa de </w:t>
      </w:r>
      <w:r w:rsidR="0001429E">
        <w:t>6.</w:t>
      </w:r>
      <w:r w:rsidR="003C37F1">
        <w:t>7</w:t>
      </w:r>
      <w:r w:rsidR="0001429E">
        <w:t>%) respecto a lo observado el año anterior</w:t>
      </w:r>
      <w:r w:rsidR="00F65653">
        <w:t xml:space="preserve">, la </w:t>
      </w:r>
      <w:r w:rsidR="00CE43A6">
        <w:t xml:space="preserve">fuente de </w:t>
      </w:r>
      <w:r w:rsidR="001F135F">
        <w:t>la</w:t>
      </w:r>
      <w:r w:rsidR="00CE43A6">
        <w:t xml:space="preserve"> reducción fueron </w:t>
      </w:r>
      <w:r w:rsidR="001B2B19">
        <w:t>los</w:t>
      </w:r>
      <w:r w:rsidR="00F50C8A">
        <w:t xml:space="preserve"> aplicados a</w:t>
      </w:r>
      <w:r w:rsidR="001B2B19">
        <w:t xml:space="preserve"> sociedades y otras empresas (variación interanual </w:t>
      </w:r>
      <w:r w:rsidR="00B201D3" w:rsidRPr="00D319A6">
        <w:t>acumulada negativa de 8.</w:t>
      </w:r>
      <w:r w:rsidR="00891EC9" w:rsidRPr="00D319A6">
        <w:t>3</w:t>
      </w:r>
      <w:r w:rsidR="00B201D3" w:rsidRPr="00D319A6">
        <w:t xml:space="preserve">%) </w:t>
      </w:r>
      <w:r w:rsidR="00C61758" w:rsidRPr="00D319A6">
        <w:t xml:space="preserve">mientras que los </w:t>
      </w:r>
      <w:r w:rsidR="00551F85" w:rsidRPr="00D319A6">
        <w:t xml:space="preserve">pagados por </w:t>
      </w:r>
      <w:r w:rsidR="00760B57" w:rsidRPr="00D319A6">
        <w:t>personas físicas se incrementaron interanualmente en 4.1%.</w:t>
      </w:r>
      <w:r w:rsidR="005E47A3" w:rsidRPr="00D319A6">
        <w:t xml:space="preserve"> L</w:t>
      </w:r>
      <w:r w:rsidR="003A3942" w:rsidRPr="00D319A6">
        <w:t>os impuestos sobre la propiedad (inmuebles y las sucesiones, herencias y regalos) fueron los que experimentaron una mayor disminución en términos relativos, teniendo una variación interanual negativa del 40.9%</w:t>
      </w:r>
      <w:r w:rsidR="00923B51" w:rsidRPr="00D319A6">
        <w:t xml:space="preserve">, sin embargo, en términos </w:t>
      </w:r>
      <w:r w:rsidR="00375D21" w:rsidRPr="00D319A6">
        <w:t xml:space="preserve">monetarios esto </w:t>
      </w:r>
      <w:r w:rsidR="003A3942" w:rsidRPr="00D319A6">
        <w:t>equivale</w:t>
      </w:r>
      <w:r w:rsidR="00375D21" w:rsidRPr="00D319A6">
        <w:t xml:space="preserve"> solamente</w:t>
      </w:r>
      <w:r w:rsidR="003A3942" w:rsidRPr="00D319A6">
        <w:t xml:space="preserve"> a</w:t>
      </w:r>
      <w:r w:rsidR="00162970" w:rsidRPr="00D319A6">
        <w:t xml:space="preserve"> una reducción de</w:t>
      </w:r>
      <w:r w:rsidR="003A3942" w:rsidRPr="00D319A6">
        <w:t xml:space="preserve"> Q3.8 millones.</w:t>
      </w:r>
    </w:p>
    <w:p w14:paraId="1884979F" w14:textId="77777777" w:rsidR="00756949" w:rsidRDefault="00756949" w:rsidP="00F55D61"/>
    <w:p w14:paraId="4FC8F332" w14:textId="3B98F8DB" w:rsidR="003E7939" w:rsidRDefault="00683FDC" w:rsidP="00F55D61">
      <w:r>
        <w:t xml:space="preserve">Por su parte, los </w:t>
      </w:r>
      <w:r w:rsidR="00C61758">
        <w:t xml:space="preserve">impuestos sobre </w:t>
      </w:r>
      <w:r w:rsidR="008356BF" w:rsidRPr="008356BF">
        <w:t xml:space="preserve">los bienes y servicios </w:t>
      </w:r>
      <w:r w:rsidR="008356BF">
        <w:t xml:space="preserve">se redujeron </w:t>
      </w:r>
      <w:r w:rsidR="00304996">
        <w:t>en Q19</w:t>
      </w:r>
      <w:r w:rsidR="006E43AD">
        <w:t>6</w:t>
      </w:r>
      <w:r w:rsidR="00304996">
        <w:t>.</w:t>
      </w:r>
      <w:r w:rsidR="006E43AD">
        <w:t>7</w:t>
      </w:r>
      <w:r w:rsidR="00304996">
        <w:t xml:space="preserve"> millones (</w:t>
      </w:r>
      <w:r w:rsidR="008702D2">
        <w:t xml:space="preserve">una variación interanual negativa </w:t>
      </w:r>
      <w:r w:rsidR="00ED5D6B">
        <w:t xml:space="preserve">del </w:t>
      </w:r>
      <w:r w:rsidR="008702D2">
        <w:t>2.3%)</w:t>
      </w:r>
      <w:r w:rsidR="008D2F42">
        <w:t xml:space="preserve"> su principal causante fueron los impuestos generales</w:t>
      </w:r>
      <w:r w:rsidR="007E0FF8">
        <w:t xml:space="preserve"> sobre bienes y servicios (el IVA</w:t>
      </w:r>
      <w:r w:rsidR="00E779B7">
        <w:t xml:space="preserve"> </w:t>
      </w:r>
      <w:r w:rsidR="006E43AD">
        <w:t>descontando</w:t>
      </w:r>
      <w:r w:rsidR="00E779B7">
        <w:t xml:space="preserve"> </w:t>
      </w:r>
      <w:r w:rsidR="00601F9D">
        <w:t>devoluciones</w:t>
      </w:r>
      <w:r w:rsidR="007E0FF8">
        <w:t>) disminuy</w:t>
      </w:r>
      <w:r w:rsidR="00601F9D">
        <w:t>ó</w:t>
      </w:r>
      <w:r w:rsidR="007E0FF8">
        <w:t xml:space="preserve"> en</w:t>
      </w:r>
      <w:r w:rsidR="00B62C35">
        <w:t xml:space="preserve"> </w:t>
      </w:r>
      <w:r w:rsidR="007E0FF8">
        <w:t>Q</w:t>
      </w:r>
      <w:r w:rsidR="00B62C35">
        <w:t>.</w:t>
      </w:r>
      <w:r w:rsidR="007E0FF8">
        <w:t>26</w:t>
      </w:r>
      <w:r w:rsidR="00F928E5">
        <w:t>4</w:t>
      </w:r>
      <w:r w:rsidR="007E0FF8">
        <w:t>.</w:t>
      </w:r>
      <w:r w:rsidR="00F928E5">
        <w:t>4</w:t>
      </w:r>
      <w:r w:rsidR="007E0FF8">
        <w:t xml:space="preserve"> millones</w:t>
      </w:r>
      <w:r w:rsidR="00B62C35">
        <w:t xml:space="preserve"> </w:t>
      </w:r>
      <w:r w:rsidR="00515DEC">
        <w:t xml:space="preserve">con una </w:t>
      </w:r>
      <w:r w:rsidR="00B62C35">
        <w:t>variación interanual negativa de</w:t>
      </w:r>
      <w:r w:rsidR="00515DEC">
        <w:t>l</w:t>
      </w:r>
      <w:r w:rsidR="00B62C35">
        <w:t xml:space="preserve"> </w:t>
      </w:r>
      <w:r w:rsidR="00BF5954">
        <w:t>3.</w:t>
      </w:r>
      <w:r w:rsidR="00F928E5">
        <w:t>7</w:t>
      </w:r>
      <w:r w:rsidR="00BF5954">
        <w:t>%</w:t>
      </w:r>
      <w:r w:rsidR="00BE1836">
        <w:t xml:space="preserve"> mientras que los impuestos selectivos experimentaron un incremento de </w:t>
      </w:r>
      <w:r w:rsidR="00FD121D">
        <w:t>Q</w:t>
      </w:r>
      <w:r w:rsidR="00BE1836">
        <w:t>72 millones</w:t>
      </w:r>
      <w:r w:rsidR="00FD121D">
        <w:t xml:space="preserve"> (una variación interanual acumulada</w:t>
      </w:r>
      <w:r w:rsidR="005A78C7">
        <w:t xml:space="preserve"> positiva</w:t>
      </w:r>
      <w:r w:rsidR="00FD121D">
        <w:t xml:space="preserve"> del 5.8%)</w:t>
      </w:r>
      <w:r w:rsidR="00850858">
        <w:t xml:space="preserve">. </w:t>
      </w:r>
    </w:p>
    <w:p w14:paraId="11C3FA75" w14:textId="18D275E4" w:rsidR="004954EE" w:rsidRDefault="004954EE" w:rsidP="00F55D61"/>
    <w:p w14:paraId="5D017D46" w14:textId="2B6B40D4" w:rsidR="004954EE" w:rsidRPr="003E7939" w:rsidRDefault="004954EE" w:rsidP="00F55D61">
      <w:r w:rsidRPr="00D319A6">
        <w:t>Cabe mencionar que</w:t>
      </w:r>
      <w:r w:rsidR="00B64C68" w:rsidRPr="00D319A6">
        <w:t xml:space="preserve"> entre las principales razones por la cual disminuye la recaudación </w:t>
      </w:r>
      <w:r w:rsidR="00D60F60" w:rsidRPr="00D319A6">
        <w:t>tributaria</w:t>
      </w:r>
      <w:r w:rsidR="00B64C68" w:rsidRPr="00D319A6">
        <w:t xml:space="preserve"> se </w:t>
      </w:r>
      <w:r w:rsidR="00D60F60" w:rsidRPr="00D319A6">
        <w:t>encuentra</w:t>
      </w:r>
      <w:r w:rsidR="00B64C68" w:rsidRPr="00D319A6">
        <w:t xml:space="preserve"> </w:t>
      </w:r>
      <w:r w:rsidR="00D60F60" w:rsidRPr="00D319A6">
        <w:t>la medida tomada por</w:t>
      </w:r>
      <w:r w:rsidRPr="00D319A6">
        <w:t xml:space="preserve"> la Super Intendencia de Administración Tributaria -SAT-</w:t>
      </w:r>
      <w:r w:rsidR="00DF76C2" w:rsidRPr="00D319A6">
        <w:t xml:space="preserve"> </w:t>
      </w:r>
      <w:r w:rsidR="003000C2" w:rsidRPr="00D319A6">
        <w:t>por la situación vivida por la pandemia del COVID-19</w:t>
      </w:r>
      <w:r w:rsidR="00C91C22" w:rsidRPr="00D319A6">
        <w:t xml:space="preserve"> (</w:t>
      </w:r>
      <w:r w:rsidR="0016346E" w:rsidRPr="00D319A6">
        <w:t>resolución n</w:t>
      </w:r>
      <w:r w:rsidR="00613724" w:rsidRPr="00D319A6">
        <w:t>úmero SAT-DSI-280-2020</w:t>
      </w:r>
      <w:r w:rsidR="00C91C22" w:rsidRPr="00D319A6">
        <w:t>)</w:t>
      </w:r>
      <w:r w:rsidR="0016346E" w:rsidRPr="00D319A6">
        <w:t xml:space="preserve"> </w:t>
      </w:r>
      <w:r w:rsidR="00DB6A40" w:rsidRPr="00D319A6">
        <w:t xml:space="preserve">con la cual </w:t>
      </w:r>
      <w:r w:rsidR="00F31E50" w:rsidRPr="00D319A6">
        <w:t xml:space="preserve">trasladan las obligaciones tributarias </w:t>
      </w:r>
      <w:r w:rsidR="00325EC5" w:rsidRPr="00D319A6">
        <w:t xml:space="preserve">previstas entre el 24 marzo </w:t>
      </w:r>
      <w:r w:rsidR="00D148B9" w:rsidRPr="00D319A6">
        <w:t>y</w:t>
      </w:r>
      <w:r w:rsidR="0074205F" w:rsidRPr="00D319A6">
        <w:t xml:space="preserve"> </w:t>
      </w:r>
      <w:r w:rsidR="00D71F73" w:rsidRPr="00D319A6">
        <w:t xml:space="preserve">el </w:t>
      </w:r>
      <w:r w:rsidR="0074205F" w:rsidRPr="00D319A6">
        <w:t>14 de abril</w:t>
      </w:r>
      <w:r w:rsidR="00D148B9" w:rsidRPr="00D319A6">
        <w:t>, es decir, un diferimiento del pago de impuestos correspondientes al mes de marzo.</w:t>
      </w:r>
    </w:p>
    <w:p w14:paraId="1CA91EDA" w14:textId="77777777" w:rsidR="00A37419" w:rsidRPr="00BF230D" w:rsidRDefault="00A37419" w:rsidP="00F55D61">
      <w:pPr>
        <w:rPr>
          <w:rFonts w:cs="Times New Roman"/>
        </w:rPr>
      </w:pPr>
    </w:p>
    <w:p w14:paraId="7764F230" w14:textId="5EC7374A" w:rsidR="00C56008" w:rsidRPr="00BA5CA8" w:rsidRDefault="0051245F" w:rsidP="00BA5CA8">
      <w:pPr>
        <w:jc w:val="center"/>
        <w:rPr>
          <w:rFonts w:cs="Times New Roman"/>
          <w:color w:val="FF0000"/>
          <w:lang w:val="es-MX"/>
        </w:rPr>
      </w:pPr>
      <w:r>
        <w:rPr>
          <w:noProof/>
        </w:rPr>
        <w:drawing>
          <wp:inline distT="0" distB="0" distL="0" distR="0" wp14:anchorId="161BB364" wp14:editId="7A068D77">
            <wp:extent cx="4419600" cy="398526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7C3B2295-E86D-4696-B1C7-A0A4761FD3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33574">
        <w:rPr>
          <w:rFonts w:cs="Times New Roman"/>
          <w:color w:val="FF0000"/>
          <w:lang w:val="es-MX"/>
        </w:rPr>
        <w:tab/>
      </w:r>
      <w:r w:rsidR="009D5E49">
        <w:rPr>
          <w:rFonts w:cs="Times New Roman"/>
          <w:color w:val="FF0000"/>
          <w:lang w:val="es-MX"/>
        </w:rPr>
        <w:tab/>
      </w:r>
    </w:p>
    <w:p w14:paraId="76AC0442" w14:textId="77777777" w:rsidR="00C56008" w:rsidRPr="00BF230D" w:rsidRDefault="00C56008" w:rsidP="00110318">
      <w:pPr>
        <w:pStyle w:val="Prrafodelista"/>
        <w:ind w:left="1276"/>
      </w:pPr>
      <w:r w:rsidRPr="00BF230D">
        <w:t>*Cifras preliminares</w:t>
      </w:r>
    </w:p>
    <w:p w14:paraId="402C5CAD" w14:textId="2833CFED" w:rsidR="00C56008" w:rsidRPr="00BF230D" w:rsidRDefault="00C56008" w:rsidP="00110318">
      <w:pPr>
        <w:pStyle w:val="Prrafodelista"/>
        <w:ind w:left="1276"/>
      </w:pPr>
      <w:r w:rsidRPr="00BF230D">
        <w:t>Fuente: MINFIN</w:t>
      </w:r>
    </w:p>
    <w:p w14:paraId="2F8B2438" w14:textId="736D3C38" w:rsidR="00E66A98" w:rsidRPr="00BF230D" w:rsidRDefault="00E66A98" w:rsidP="00E66A98">
      <w:pPr>
        <w:pStyle w:val="Prrafodelista"/>
        <w:numPr>
          <w:ilvl w:val="0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49" w:name="_Toc31612759"/>
      <w:bookmarkStart w:id="50" w:name="_Toc31612791"/>
      <w:bookmarkStart w:id="51" w:name="_Toc31614817"/>
      <w:bookmarkStart w:id="52" w:name="_Toc31614849"/>
      <w:bookmarkStart w:id="53" w:name="_Toc31618686"/>
      <w:bookmarkStart w:id="54" w:name="_Toc31618719"/>
      <w:bookmarkStart w:id="55" w:name="_Toc31624495"/>
      <w:bookmarkStart w:id="56" w:name="_Toc31625347"/>
      <w:bookmarkStart w:id="57" w:name="_Toc31626802"/>
      <w:bookmarkStart w:id="58" w:name="_Toc31811253"/>
      <w:bookmarkStart w:id="59" w:name="_Toc31811698"/>
      <w:bookmarkStart w:id="60" w:name="_Toc31971861"/>
      <w:bookmarkStart w:id="61" w:name="_Toc32230883"/>
      <w:bookmarkStart w:id="62" w:name="_Toc33109782"/>
      <w:bookmarkStart w:id="63" w:name="_Toc33109825"/>
      <w:bookmarkStart w:id="64" w:name="_Toc33180546"/>
      <w:bookmarkStart w:id="65" w:name="_Toc33180640"/>
      <w:bookmarkStart w:id="66" w:name="_Toc33193537"/>
      <w:bookmarkStart w:id="67" w:name="_Toc33193576"/>
      <w:bookmarkStart w:id="68" w:name="_Toc33196773"/>
      <w:bookmarkStart w:id="69" w:name="_Toc40691749"/>
      <w:bookmarkStart w:id="70" w:name="_Toc40959152"/>
      <w:bookmarkStart w:id="71" w:name="_Toc40975986"/>
      <w:bookmarkStart w:id="72" w:name="_Toc40976055"/>
      <w:bookmarkStart w:id="73" w:name="_Toc40993310"/>
      <w:bookmarkStart w:id="74" w:name="_Toc40993692"/>
      <w:bookmarkStart w:id="75" w:name="_Toc41037568"/>
      <w:bookmarkStart w:id="76" w:name="_Toc41254128"/>
      <w:bookmarkStart w:id="77" w:name="_Toc41254160"/>
      <w:bookmarkStart w:id="78" w:name="_Toc41254180"/>
      <w:bookmarkStart w:id="79" w:name="_Toc42023953"/>
      <w:bookmarkStart w:id="80" w:name="_Toc42024006"/>
      <w:bookmarkStart w:id="81" w:name="_Toc42069104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07F93F28" w14:textId="77777777" w:rsidR="00E66A98" w:rsidRPr="00BF230D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82" w:name="_Toc31612760"/>
      <w:bookmarkStart w:id="83" w:name="_Toc31612792"/>
      <w:bookmarkStart w:id="84" w:name="_Toc31614818"/>
      <w:bookmarkStart w:id="85" w:name="_Toc31614850"/>
      <w:bookmarkStart w:id="86" w:name="_Toc31618687"/>
      <w:bookmarkStart w:id="87" w:name="_Toc31618720"/>
      <w:bookmarkStart w:id="88" w:name="_Toc31624496"/>
      <w:bookmarkStart w:id="89" w:name="_Toc31625348"/>
      <w:bookmarkStart w:id="90" w:name="_Toc31626803"/>
      <w:bookmarkStart w:id="91" w:name="_Toc31811254"/>
      <w:bookmarkStart w:id="92" w:name="_Toc31811699"/>
      <w:bookmarkStart w:id="93" w:name="_Toc31971862"/>
      <w:bookmarkStart w:id="94" w:name="_Toc32230884"/>
      <w:bookmarkStart w:id="95" w:name="_Toc33109783"/>
      <w:bookmarkStart w:id="96" w:name="_Toc33109826"/>
      <w:bookmarkStart w:id="97" w:name="_Toc33180547"/>
      <w:bookmarkStart w:id="98" w:name="_Toc33180641"/>
      <w:bookmarkStart w:id="99" w:name="_Toc33193538"/>
      <w:bookmarkStart w:id="100" w:name="_Toc33193577"/>
      <w:bookmarkStart w:id="101" w:name="_Toc33196774"/>
      <w:bookmarkStart w:id="102" w:name="_Toc40691750"/>
      <w:bookmarkStart w:id="103" w:name="_Toc40959153"/>
      <w:bookmarkStart w:id="104" w:name="_Toc40975987"/>
      <w:bookmarkStart w:id="105" w:name="_Toc40976056"/>
      <w:bookmarkStart w:id="106" w:name="_Toc40993311"/>
      <w:bookmarkStart w:id="107" w:name="_Toc40993693"/>
      <w:bookmarkStart w:id="108" w:name="_Toc41037569"/>
      <w:bookmarkStart w:id="109" w:name="_Toc41254129"/>
      <w:bookmarkStart w:id="110" w:name="_Toc41254161"/>
      <w:bookmarkStart w:id="111" w:name="_Toc41254181"/>
      <w:bookmarkStart w:id="112" w:name="_Toc42023954"/>
      <w:bookmarkStart w:id="113" w:name="_Toc42024007"/>
      <w:bookmarkStart w:id="114" w:name="_Toc4206910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7FF88797" w14:textId="77777777" w:rsidR="00E66A98" w:rsidRPr="00BF230D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115" w:name="_Toc31612761"/>
      <w:bookmarkStart w:id="116" w:name="_Toc31612793"/>
      <w:bookmarkStart w:id="117" w:name="_Toc31614819"/>
      <w:bookmarkStart w:id="118" w:name="_Toc31614851"/>
      <w:bookmarkStart w:id="119" w:name="_Toc31618688"/>
      <w:bookmarkStart w:id="120" w:name="_Toc31618721"/>
      <w:bookmarkStart w:id="121" w:name="_Toc31624497"/>
      <w:bookmarkStart w:id="122" w:name="_Toc31625349"/>
      <w:bookmarkStart w:id="123" w:name="_Toc31626804"/>
      <w:bookmarkStart w:id="124" w:name="_Toc31811255"/>
      <w:bookmarkStart w:id="125" w:name="_Toc31811700"/>
      <w:bookmarkStart w:id="126" w:name="_Toc31971863"/>
      <w:bookmarkStart w:id="127" w:name="_Toc32230885"/>
      <w:bookmarkStart w:id="128" w:name="_Toc33109784"/>
      <w:bookmarkStart w:id="129" w:name="_Toc33109827"/>
      <w:bookmarkStart w:id="130" w:name="_Toc33180548"/>
      <w:bookmarkStart w:id="131" w:name="_Toc33180642"/>
      <w:bookmarkStart w:id="132" w:name="_Toc33193539"/>
      <w:bookmarkStart w:id="133" w:name="_Toc33193578"/>
      <w:bookmarkStart w:id="134" w:name="_Toc33196775"/>
      <w:bookmarkStart w:id="135" w:name="_Toc40691751"/>
      <w:bookmarkStart w:id="136" w:name="_Toc40959154"/>
      <w:bookmarkStart w:id="137" w:name="_Toc40975988"/>
      <w:bookmarkStart w:id="138" w:name="_Toc40976057"/>
      <w:bookmarkStart w:id="139" w:name="_Toc40993312"/>
      <w:bookmarkStart w:id="140" w:name="_Toc40993694"/>
      <w:bookmarkStart w:id="141" w:name="_Toc41037570"/>
      <w:bookmarkStart w:id="142" w:name="_Toc41254130"/>
      <w:bookmarkStart w:id="143" w:name="_Toc41254162"/>
      <w:bookmarkStart w:id="144" w:name="_Toc41254182"/>
      <w:bookmarkStart w:id="145" w:name="_Toc42023955"/>
      <w:bookmarkStart w:id="146" w:name="_Toc42024008"/>
      <w:bookmarkStart w:id="147" w:name="_Toc4206910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6F0B48B2" w14:textId="77777777" w:rsidR="00855089" w:rsidRPr="00BF230D" w:rsidRDefault="00855089" w:rsidP="00CD34D6">
      <w:pPr>
        <w:rPr>
          <w:rFonts w:cs="Times New Roman"/>
          <w:sz w:val="16"/>
          <w:szCs w:val="22"/>
          <w:lang w:val="es-MX"/>
        </w:rPr>
      </w:pPr>
    </w:p>
    <w:p w14:paraId="6FAA4490" w14:textId="5F5B6E6D" w:rsidR="008C0B31" w:rsidRDefault="008C0B31" w:rsidP="00BC50A6">
      <w:pPr>
        <w:pStyle w:val="Prrafodelista"/>
        <w:numPr>
          <w:ilvl w:val="0"/>
          <w:numId w:val="1"/>
        </w:numPr>
        <w:ind w:left="426" w:hanging="426"/>
        <w:outlineLvl w:val="0"/>
        <w:rPr>
          <w:rFonts w:eastAsiaTheme="majorEastAsia" w:cs="Times New Roman"/>
          <w:b/>
          <w:bCs/>
          <w:sz w:val="24"/>
          <w:szCs w:val="26"/>
          <w:lang w:val="es-ES_tradnl" w:eastAsia="es-ES"/>
        </w:rPr>
      </w:pPr>
      <w:bookmarkStart w:id="148" w:name="_Toc42069107"/>
      <w:r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lastRenderedPageBreak/>
        <w:t>Gasto Público</w:t>
      </w:r>
      <w:r w:rsidR="00CE4BA6" w:rsidRPr="00BF230D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 xml:space="preserve"> del Gobierno Central Presupuestario</w:t>
      </w:r>
      <w:bookmarkEnd w:id="148"/>
    </w:p>
    <w:p w14:paraId="51A82E17" w14:textId="3BFD0C76" w:rsidR="0039614C" w:rsidRPr="000A60A1" w:rsidRDefault="0039614C" w:rsidP="00B57C32">
      <w:pPr>
        <w:rPr>
          <w:rFonts w:eastAsiaTheme="majorEastAsia" w:cs="Times New Roman"/>
          <w:b/>
          <w:bCs/>
          <w:sz w:val="24"/>
          <w:szCs w:val="26"/>
          <w:lang w:val="es-ES_tradnl"/>
        </w:rPr>
      </w:pPr>
      <w:r>
        <w:rPr>
          <w:rFonts w:eastAsiaTheme="majorEastAsia"/>
          <w:noProof/>
          <w:lang w:val="es-ES_tradnl"/>
        </w:rPr>
        <w:drawing>
          <wp:inline distT="0" distB="0" distL="0" distR="0" wp14:anchorId="75D3D81E" wp14:editId="1BE014C9">
            <wp:extent cx="5836920" cy="876300"/>
            <wp:effectExtent l="76200" t="38100" r="87630" b="11430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0633D2D" w14:textId="77777777" w:rsidR="00BC50A6" w:rsidRPr="000A60A1" w:rsidRDefault="00BC50A6" w:rsidP="000A60A1">
      <w:pPr>
        <w:outlineLvl w:val="0"/>
        <w:rPr>
          <w:rFonts w:eastAsiaTheme="majorEastAsia" w:cs="Times New Roman"/>
          <w:b/>
          <w:bCs/>
          <w:sz w:val="24"/>
          <w:szCs w:val="26"/>
          <w:lang w:val="es-ES_tradnl"/>
        </w:rPr>
      </w:pPr>
    </w:p>
    <w:p w14:paraId="72153721" w14:textId="77777777" w:rsidR="00770433" w:rsidRPr="00BF230D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149" w:name="_Toc471986932"/>
      <w:bookmarkStart w:id="150" w:name="_Toc471987067"/>
      <w:bookmarkStart w:id="151" w:name="_Toc471987115"/>
      <w:bookmarkStart w:id="152" w:name="_Toc471987137"/>
      <w:bookmarkStart w:id="153" w:name="_Toc472082165"/>
      <w:bookmarkStart w:id="154" w:name="_Toc472082197"/>
      <w:bookmarkStart w:id="155" w:name="_Toc472089913"/>
      <w:bookmarkStart w:id="156" w:name="_Toc472089936"/>
      <w:bookmarkStart w:id="157" w:name="_Toc505346063"/>
      <w:bookmarkStart w:id="158" w:name="_Toc505349878"/>
      <w:bookmarkStart w:id="159" w:name="_Toc534985836"/>
      <w:bookmarkStart w:id="160" w:name="_Toc534988229"/>
      <w:bookmarkStart w:id="161" w:name="_Toc31611549"/>
      <w:bookmarkStart w:id="162" w:name="_Toc31612768"/>
      <w:bookmarkStart w:id="163" w:name="_Toc31612800"/>
      <w:bookmarkStart w:id="164" w:name="_Toc31614826"/>
      <w:bookmarkStart w:id="165" w:name="_Toc31614858"/>
      <w:bookmarkStart w:id="166" w:name="_Toc31618695"/>
      <w:bookmarkStart w:id="167" w:name="_Toc31618728"/>
      <w:bookmarkStart w:id="168" w:name="_Toc31624504"/>
      <w:bookmarkStart w:id="169" w:name="_Toc31625356"/>
      <w:bookmarkStart w:id="170" w:name="_Toc31626811"/>
      <w:bookmarkStart w:id="171" w:name="_Toc31811262"/>
      <w:bookmarkStart w:id="172" w:name="_Toc31811707"/>
      <w:bookmarkStart w:id="173" w:name="_Toc31971870"/>
      <w:bookmarkStart w:id="174" w:name="_Toc32230892"/>
      <w:bookmarkStart w:id="175" w:name="_Toc33109788"/>
      <w:bookmarkStart w:id="176" w:name="_Toc33109831"/>
      <w:bookmarkStart w:id="177" w:name="_Toc33180552"/>
      <w:bookmarkStart w:id="178" w:name="_Toc33180646"/>
      <w:bookmarkStart w:id="179" w:name="_Toc33193543"/>
      <w:bookmarkStart w:id="180" w:name="_Toc33193582"/>
      <w:bookmarkStart w:id="181" w:name="_Toc33196779"/>
      <w:bookmarkStart w:id="182" w:name="_Toc40691755"/>
      <w:bookmarkStart w:id="183" w:name="_Toc40959156"/>
      <w:bookmarkStart w:id="184" w:name="_Toc40975990"/>
      <w:bookmarkStart w:id="185" w:name="_Toc40976059"/>
      <w:bookmarkStart w:id="186" w:name="_Toc40993314"/>
      <w:bookmarkStart w:id="187" w:name="_Toc40993696"/>
      <w:bookmarkStart w:id="188" w:name="_Toc41037572"/>
      <w:bookmarkStart w:id="189" w:name="_Toc41254132"/>
      <w:bookmarkStart w:id="190" w:name="_Toc41254164"/>
      <w:bookmarkStart w:id="191" w:name="_Toc41254184"/>
      <w:bookmarkStart w:id="192" w:name="_Toc42023958"/>
      <w:bookmarkStart w:id="193" w:name="_Toc42024010"/>
      <w:bookmarkStart w:id="194" w:name="_Toc4206910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32F0DFB4" w14:textId="77777777" w:rsidR="00770433" w:rsidRPr="00BF230D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195" w:name="_Toc472082166"/>
      <w:bookmarkStart w:id="196" w:name="_Toc472082198"/>
      <w:bookmarkStart w:id="197" w:name="_Toc472089914"/>
      <w:bookmarkStart w:id="198" w:name="_Toc472089937"/>
      <w:bookmarkStart w:id="199" w:name="_Toc505346064"/>
      <w:bookmarkStart w:id="200" w:name="_Toc505349879"/>
      <w:bookmarkStart w:id="201" w:name="_Toc534985837"/>
      <w:bookmarkStart w:id="202" w:name="_Toc534988230"/>
      <w:bookmarkStart w:id="203" w:name="_Toc31611550"/>
      <w:bookmarkStart w:id="204" w:name="_Toc31612769"/>
      <w:bookmarkStart w:id="205" w:name="_Toc31612801"/>
      <w:bookmarkStart w:id="206" w:name="_Toc31614827"/>
      <w:bookmarkStart w:id="207" w:name="_Toc31614859"/>
      <w:bookmarkStart w:id="208" w:name="_Toc31618696"/>
      <w:bookmarkStart w:id="209" w:name="_Toc31618729"/>
      <w:bookmarkStart w:id="210" w:name="_Toc31624505"/>
      <w:bookmarkStart w:id="211" w:name="_Toc31625357"/>
      <w:bookmarkStart w:id="212" w:name="_Toc31626812"/>
      <w:bookmarkStart w:id="213" w:name="_Toc31811263"/>
      <w:bookmarkStart w:id="214" w:name="_Toc31811708"/>
      <w:bookmarkStart w:id="215" w:name="_Toc31971871"/>
      <w:bookmarkStart w:id="216" w:name="_Toc32230893"/>
      <w:bookmarkStart w:id="217" w:name="_Toc33109789"/>
      <w:bookmarkStart w:id="218" w:name="_Toc33109832"/>
      <w:bookmarkStart w:id="219" w:name="_Toc33180553"/>
      <w:bookmarkStart w:id="220" w:name="_Toc33180647"/>
      <w:bookmarkStart w:id="221" w:name="_Toc33193544"/>
      <w:bookmarkStart w:id="222" w:name="_Toc33193583"/>
      <w:bookmarkStart w:id="223" w:name="_Toc33196780"/>
      <w:bookmarkStart w:id="224" w:name="_Toc40691756"/>
      <w:bookmarkStart w:id="225" w:name="_Toc40959157"/>
      <w:bookmarkStart w:id="226" w:name="_Toc40975991"/>
      <w:bookmarkStart w:id="227" w:name="_Toc40976060"/>
      <w:bookmarkStart w:id="228" w:name="_Toc40993315"/>
      <w:bookmarkStart w:id="229" w:name="_Toc40993697"/>
      <w:bookmarkStart w:id="230" w:name="_Toc41037573"/>
      <w:bookmarkStart w:id="231" w:name="_Toc41254133"/>
      <w:bookmarkStart w:id="232" w:name="_Toc41254165"/>
      <w:bookmarkStart w:id="233" w:name="_Toc41254185"/>
      <w:bookmarkStart w:id="234" w:name="_Toc42023959"/>
      <w:bookmarkStart w:id="235" w:name="_Toc42024011"/>
      <w:bookmarkStart w:id="236" w:name="_Toc4206910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0B90A3C2" w14:textId="17176307" w:rsidR="00364844" w:rsidRPr="00BF230D" w:rsidRDefault="00264074" w:rsidP="006924C1">
      <w:pPr>
        <w:pStyle w:val="Ttulo2"/>
        <w:numPr>
          <w:ilvl w:val="1"/>
          <w:numId w:val="12"/>
        </w:numPr>
        <w:spacing w:before="0"/>
        <w:ind w:left="567"/>
        <w:rPr>
          <w:rFonts w:ascii="Times New Roman" w:hAnsi="Times New Roman" w:cs="Times New Roman"/>
          <w:color w:val="FF0000"/>
          <w:sz w:val="24"/>
        </w:rPr>
      </w:pPr>
      <w:bookmarkStart w:id="237" w:name="_Toc42069110"/>
      <w:r>
        <w:rPr>
          <w:rFonts w:ascii="Times New Roman" w:hAnsi="Times New Roman" w:cs="Times New Roman"/>
          <w:color w:val="auto"/>
          <w:sz w:val="24"/>
        </w:rPr>
        <w:t>Se eleva la</w:t>
      </w:r>
      <w:r w:rsidR="006924C1" w:rsidRPr="00BF230D">
        <w:rPr>
          <w:rFonts w:ascii="Times New Roman" w:hAnsi="Times New Roman" w:cs="Times New Roman"/>
          <w:color w:val="auto"/>
          <w:sz w:val="24"/>
        </w:rPr>
        <w:t xml:space="preserve"> ejecución de</w:t>
      </w:r>
      <w:r>
        <w:rPr>
          <w:rFonts w:ascii="Times New Roman" w:hAnsi="Times New Roman" w:cs="Times New Roman"/>
          <w:color w:val="auto"/>
          <w:sz w:val="24"/>
        </w:rPr>
        <w:t>l</w:t>
      </w:r>
      <w:r w:rsidR="006924C1" w:rsidRPr="00BF230D">
        <w:rPr>
          <w:rFonts w:ascii="Times New Roman" w:hAnsi="Times New Roman" w:cs="Times New Roman"/>
          <w:color w:val="auto"/>
          <w:sz w:val="24"/>
        </w:rPr>
        <w:t xml:space="preserve"> gasto </w:t>
      </w:r>
      <w:r w:rsidR="00C31BA7">
        <w:rPr>
          <w:rFonts w:ascii="Times New Roman" w:hAnsi="Times New Roman" w:cs="Times New Roman"/>
          <w:color w:val="auto"/>
          <w:sz w:val="24"/>
        </w:rPr>
        <w:t>a marzo</w:t>
      </w:r>
      <w:bookmarkEnd w:id="237"/>
    </w:p>
    <w:p w14:paraId="46E70066" w14:textId="5065F8D7" w:rsidR="00364844" w:rsidRPr="00BF230D" w:rsidRDefault="00D50BEC" w:rsidP="00CD34D6">
      <w:pPr>
        <w:rPr>
          <w:rFonts w:cs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C0175F4" wp14:editId="6F60D4B4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8803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BC5EFA0E-D2BC-484B-9341-743CB705A0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96646" w14:textId="77777777" w:rsidR="00AF2B4E" w:rsidRDefault="00AF2B4E" w:rsidP="00CD34D6">
      <w:pPr>
        <w:rPr>
          <w:rFonts w:cs="Times New Roman"/>
          <w:szCs w:val="22"/>
        </w:rPr>
        <w:sectPr w:rsidR="00AF2B4E" w:rsidSect="00CB498E"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 w:code="1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B193220" w14:textId="77777777" w:rsidR="00AF2B4E" w:rsidRPr="00BF230D" w:rsidRDefault="00AF2B4E" w:rsidP="00AF2B4E">
      <w:pPr>
        <w:pStyle w:val="Prrafodelista"/>
        <w:ind w:left="0"/>
      </w:pPr>
      <w:r w:rsidRPr="00BF230D">
        <w:t>*Cifras preliminares</w:t>
      </w:r>
    </w:p>
    <w:p w14:paraId="40A4F53A" w14:textId="2529DC08" w:rsidR="00AF2B4E" w:rsidRDefault="00AF2B4E" w:rsidP="00AF2B4E">
      <w:pPr>
        <w:pStyle w:val="Prrafodelista"/>
        <w:ind w:left="0"/>
      </w:pPr>
      <w:r w:rsidRPr="00BF230D">
        <w:t>Fuente: MINFIN</w:t>
      </w:r>
    </w:p>
    <w:p w14:paraId="332135B2" w14:textId="6CE9AF99" w:rsidR="006924C1" w:rsidRDefault="006924C1" w:rsidP="00CD34D6">
      <w:pPr>
        <w:rPr>
          <w:rFonts w:cs="Times New Roman"/>
          <w:szCs w:val="22"/>
        </w:rPr>
      </w:pPr>
      <w:r w:rsidRPr="00BF230D">
        <w:rPr>
          <w:rFonts w:cs="Times New Roman"/>
          <w:szCs w:val="22"/>
        </w:rPr>
        <w:t xml:space="preserve">El gasto público </w:t>
      </w:r>
      <w:r w:rsidR="003D48A2" w:rsidRPr="00BF230D">
        <w:rPr>
          <w:rFonts w:cs="Times New Roman"/>
          <w:szCs w:val="22"/>
        </w:rPr>
        <w:t xml:space="preserve">del Gobierno Central </w:t>
      </w:r>
      <w:r w:rsidR="008113CC" w:rsidRPr="00BF230D">
        <w:rPr>
          <w:rFonts w:cs="Times New Roman"/>
          <w:szCs w:val="22"/>
        </w:rPr>
        <w:t>Presupuestario</w:t>
      </w:r>
      <w:r w:rsidR="00756949">
        <w:rPr>
          <w:rFonts w:cs="Times New Roman"/>
          <w:szCs w:val="22"/>
        </w:rPr>
        <w:t>,</w:t>
      </w:r>
      <w:r w:rsidR="00D319A6">
        <w:rPr>
          <w:rFonts w:cs="Times New Roman"/>
          <w:szCs w:val="22"/>
        </w:rPr>
        <w:t xml:space="preserve"> </w:t>
      </w:r>
      <w:r w:rsidRPr="00BF230D">
        <w:rPr>
          <w:rFonts w:cs="Times New Roman"/>
          <w:szCs w:val="22"/>
        </w:rPr>
        <w:t xml:space="preserve">mostró un mayor dinamismo </w:t>
      </w:r>
      <w:r w:rsidR="00025456">
        <w:rPr>
          <w:rFonts w:cs="Times New Roman"/>
          <w:szCs w:val="22"/>
        </w:rPr>
        <w:t>al mes de marzo</w:t>
      </w:r>
      <w:r w:rsidR="00362357">
        <w:rPr>
          <w:rFonts w:cs="Times New Roman"/>
          <w:szCs w:val="22"/>
        </w:rPr>
        <w:t xml:space="preserve"> en comparación a lo observado al mes de febrero. En términos interanuales</w:t>
      </w:r>
      <w:r w:rsidR="00025456">
        <w:rPr>
          <w:rFonts w:cs="Times New Roman"/>
          <w:szCs w:val="22"/>
        </w:rPr>
        <w:t xml:space="preserve">, </w:t>
      </w:r>
      <w:r w:rsidR="00362357">
        <w:rPr>
          <w:rFonts w:cs="Times New Roman"/>
          <w:szCs w:val="22"/>
        </w:rPr>
        <w:t xml:space="preserve">se tuvo un </w:t>
      </w:r>
      <w:r w:rsidR="009E5719">
        <w:rPr>
          <w:rFonts w:cs="Times New Roman"/>
          <w:szCs w:val="22"/>
        </w:rPr>
        <w:t xml:space="preserve">aumento </w:t>
      </w:r>
      <w:r w:rsidR="006E45C9">
        <w:rPr>
          <w:rFonts w:cs="Times New Roman"/>
          <w:szCs w:val="22"/>
        </w:rPr>
        <w:t xml:space="preserve">acumulado </w:t>
      </w:r>
      <w:r w:rsidR="009A135F">
        <w:rPr>
          <w:rFonts w:cs="Times New Roman"/>
          <w:szCs w:val="22"/>
        </w:rPr>
        <w:t>de Q812 millones</w:t>
      </w:r>
      <w:r w:rsidR="0034386E">
        <w:rPr>
          <w:rFonts w:cs="Times New Roman"/>
          <w:szCs w:val="22"/>
        </w:rPr>
        <w:t xml:space="preserve"> respecto al mismo periodo en 2019 </w:t>
      </w:r>
      <w:r w:rsidR="004A66D9">
        <w:rPr>
          <w:rFonts w:cs="Times New Roman"/>
          <w:szCs w:val="22"/>
        </w:rPr>
        <w:t xml:space="preserve">(a marzo) con </w:t>
      </w:r>
      <w:r w:rsidR="0034386E">
        <w:rPr>
          <w:rFonts w:cs="Times New Roman"/>
          <w:szCs w:val="22"/>
        </w:rPr>
        <w:t>una variación inter</w:t>
      </w:r>
      <w:r w:rsidR="005E491F">
        <w:rPr>
          <w:rFonts w:cs="Times New Roman"/>
          <w:szCs w:val="22"/>
        </w:rPr>
        <w:t>anual del 5.1%</w:t>
      </w:r>
      <w:r w:rsidR="00C204E2">
        <w:rPr>
          <w:rFonts w:cs="Times New Roman"/>
          <w:szCs w:val="22"/>
        </w:rPr>
        <w:t xml:space="preserve">. Cabe mencionar que </w:t>
      </w:r>
      <w:r w:rsidR="00B4274D">
        <w:rPr>
          <w:rFonts w:cs="Times New Roman"/>
          <w:szCs w:val="22"/>
        </w:rPr>
        <w:t xml:space="preserve">entre enero y febrero del 2019 </w:t>
      </w:r>
      <w:r w:rsidR="00C204E2">
        <w:rPr>
          <w:rFonts w:cs="Times New Roman"/>
          <w:szCs w:val="22"/>
        </w:rPr>
        <w:t xml:space="preserve">se llevaron a cabo </w:t>
      </w:r>
      <w:r w:rsidR="00225C31">
        <w:rPr>
          <w:rFonts w:cs="Times New Roman"/>
          <w:szCs w:val="22"/>
        </w:rPr>
        <w:t xml:space="preserve">aportes extraordinarios al Tribunal Supremo Electoral </w:t>
      </w:r>
      <w:r w:rsidR="001C29A0">
        <w:rPr>
          <w:rFonts w:cs="Times New Roman"/>
          <w:szCs w:val="22"/>
        </w:rPr>
        <w:t>derivado a las Elecciones Generales realizadas en el 2019</w:t>
      </w:r>
      <w:r w:rsidR="002C53CC">
        <w:rPr>
          <w:rFonts w:cs="Times New Roman"/>
          <w:szCs w:val="22"/>
        </w:rPr>
        <w:t>.</w:t>
      </w:r>
    </w:p>
    <w:p w14:paraId="20EBCF5A" w14:textId="77777777" w:rsidR="00F01B5B" w:rsidRDefault="00F01B5B" w:rsidP="00CD34D6">
      <w:pPr>
        <w:rPr>
          <w:rFonts w:cs="Times New Roman"/>
          <w:szCs w:val="22"/>
        </w:rPr>
      </w:pPr>
    </w:p>
    <w:p w14:paraId="07A0179A" w14:textId="77777777" w:rsidR="00AF2B4E" w:rsidRDefault="00AF2B4E" w:rsidP="00CD34D6">
      <w:pPr>
        <w:rPr>
          <w:rFonts w:cs="Times New Roman"/>
          <w:szCs w:val="22"/>
        </w:rPr>
      </w:pPr>
    </w:p>
    <w:p w14:paraId="18652467" w14:textId="0E08EE06" w:rsidR="00D50BEC" w:rsidRDefault="00D50BEC" w:rsidP="00CD34D6">
      <w:pPr>
        <w:rPr>
          <w:rFonts w:cs="Times New Roman"/>
          <w:szCs w:val="22"/>
        </w:rPr>
        <w:sectPr w:rsidR="00D50BEC" w:rsidSect="000B778D">
          <w:type w:val="continuous"/>
          <w:pgSz w:w="12240" w:h="15840" w:code="1"/>
          <w:pgMar w:top="1418" w:right="1418" w:bottom="1418" w:left="1418" w:header="709" w:footer="709" w:gutter="0"/>
          <w:pgNumType w:start="0"/>
          <w:cols w:num="2" w:space="48"/>
          <w:titlePg/>
          <w:docGrid w:linePitch="360"/>
        </w:sectPr>
      </w:pPr>
    </w:p>
    <w:p w14:paraId="1BD223D8" w14:textId="77777777" w:rsidR="00D50BEC" w:rsidRDefault="00D50BEC" w:rsidP="00CD34D6">
      <w:pPr>
        <w:rPr>
          <w:rFonts w:cs="Times New Roman"/>
          <w:szCs w:val="22"/>
        </w:rPr>
      </w:pPr>
    </w:p>
    <w:p w14:paraId="7DEA1972" w14:textId="653E7028" w:rsidR="00F058A4" w:rsidRDefault="00F058A4" w:rsidP="00CD34D6">
      <w:pPr>
        <w:rPr>
          <w:rFonts w:cs="Times New Roman"/>
          <w:szCs w:val="22"/>
        </w:rPr>
      </w:pPr>
      <w:r>
        <w:rPr>
          <w:rFonts w:cs="Times New Roman"/>
          <w:szCs w:val="22"/>
        </w:rPr>
        <w:t>Se espera que el gasto p</w:t>
      </w:r>
      <w:r w:rsidR="00E736D1">
        <w:rPr>
          <w:rFonts w:cs="Times New Roman"/>
          <w:szCs w:val="22"/>
        </w:rPr>
        <w:t>ú</w:t>
      </w:r>
      <w:r>
        <w:rPr>
          <w:rFonts w:cs="Times New Roman"/>
          <w:szCs w:val="22"/>
        </w:rPr>
        <w:t xml:space="preserve">blico </w:t>
      </w:r>
      <w:r w:rsidR="00E736D1">
        <w:rPr>
          <w:rFonts w:cs="Times New Roman"/>
          <w:szCs w:val="22"/>
        </w:rPr>
        <w:t xml:space="preserve">continúe </w:t>
      </w:r>
      <w:r w:rsidR="00222586">
        <w:rPr>
          <w:rFonts w:cs="Times New Roman"/>
          <w:szCs w:val="22"/>
        </w:rPr>
        <w:t>aumentando, considerando</w:t>
      </w:r>
      <w:r w:rsidR="0094372F">
        <w:rPr>
          <w:rFonts w:cs="Times New Roman"/>
          <w:szCs w:val="22"/>
        </w:rPr>
        <w:t xml:space="preserve"> </w:t>
      </w:r>
      <w:r w:rsidR="0092293D">
        <w:rPr>
          <w:rFonts w:cs="Times New Roman"/>
          <w:szCs w:val="22"/>
        </w:rPr>
        <w:t>las ampliaciones presupuestarias aprobadas por el Congreso de la Repúblic</w:t>
      </w:r>
      <w:r w:rsidR="00AC3849">
        <w:rPr>
          <w:rFonts w:cs="Times New Roman"/>
          <w:szCs w:val="22"/>
        </w:rPr>
        <w:t xml:space="preserve">a, los cuales ascienden a un total de Q.19,806.4 millones </w:t>
      </w:r>
      <w:r w:rsidR="0094372F">
        <w:rPr>
          <w:rFonts w:cs="Times New Roman"/>
          <w:szCs w:val="22"/>
        </w:rPr>
        <w:t>y están dirigidas a</w:t>
      </w:r>
      <w:r w:rsidR="008316AC">
        <w:rPr>
          <w:rFonts w:cs="Times New Roman"/>
          <w:szCs w:val="22"/>
        </w:rPr>
        <w:t xml:space="preserve"> atender compromisos adquiridos en 2019</w:t>
      </w:r>
      <w:r w:rsidR="00C63C08">
        <w:rPr>
          <w:rFonts w:cs="Times New Roman"/>
          <w:szCs w:val="22"/>
        </w:rPr>
        <w:t xml:space="preserve"> </w:t>
      </w:r>
      <w:r w:rsidR="00E152C5">
        <w:rPr>
          <w:rFonts w:cs="Times New Roman"/>
          <w:szCs w:val="22"/>
        </w:rPr>
        <w:t>por</w:t>
      </w:r>
      <w:r w:rsidR="00C63C08">
        <w:rPr>
          <w:rFonts w:cs="Times New Roman"/>
          <w:szCs w:val="22"/>
        </w:rPr>
        <w:t xml:space="preserve"> pactos colectivos</w:t>
      </w:r>
      <w:r w:rsidR="009E5719">
        <w:rPr>
          <w:rFonts w:cs="Times New Roman"/>
          <w:szCs w:val="22"/>
        </w:rPr>
        <w:t xml:space="preserve">, así como por otras obligaciones que el Estado debe atender considerando que el Congreso de la República no aprobó el presupuesto para este año, </w:t>
      </w:r>
      <w:r w:rsidR="003F27C8">
        <w:rPr>
          <w:rFonts w:cs="Times New Roman"/>
          <w:szCs w:val="22"/>
        </w:rPr>
        <w:t xml:space="preserve">y por </w:t>
      </w:r>
      <w:r w:rsidR="00374654">
        <w:rPr>
          <w:rFonts w:cs="Times New Roman"/>
          <w:szCs w:val="22"/>
        </w:rPr>
        <w:t>último</w:t>
      </w:r>
      <w:r w:rsidR="00C63C08">
        <w:rPr>
          <w:rFonts w:cs="Times New Roman"/>
          <w:szCs w:val="22"/>
        </w:rPr>
        <w:t xml:space="preserve"> la atención de la emergencia </w:t>
      </w:r>
      <w:r w:rsidR="00997543">
        <w:rPr>
          <w:rFonts w:cs="Times New Roman"/>
          <w:szCs w:val="22"/>
        </w:rPr>
        <w:t xml:space="preserve">por la </w:t>
      </w:r>
      <w:r w:rsidR="009E5719">
        <w:rPr>
          <w:rFonts w:cs="Times New Roman"/>
          <w:szCs w:val="22"/>
        </w:rPr>
        <w:t xml:space="preserve">Pandemia del Coronavirus </w:t>
      </w:r>
      <w:r w:rsidR="00997543">
        <w:rPr>
          <w:rFonts w:cs="Times New Roman"/>
          <w:szCs w:val="22"/>
        </w:rPr>
        <w:t xml:space="preserve"> COVID-19.</w:t>
      </w:r>
    </w:p>
    <w:p w14:paraId="40A74BFC" w14:textId="27619124" w:rsidR="00C33020" w:rsidRPr="00BF230D" w:rsidRDefault="00451AF6" w:rsidP="002B6254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5983D26B" wp14:editId="312C2D16">
            <wp:extent cx="5699760" cy="307086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C4B0FF83-1371-4CF5-87AA-8B3898ADE8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D1AE41A" w14:textId="77777777" w:rsidR="00C33020" w:rsidRPr="00BF230D" w:rsidRDefault="00C33020" w:rsidP="00FD0AA4">
      <w:pPr>
        <w:ind w:left="426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3BADA651" w14:textId="77777777" w:rsidR="00C33020" w:rsidRPr="00BF230D" w:rsidRDefault="00C33020" w:rsidP="00FD0AA4">
      <w:pPr>
        <w:ind w:left="426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4E1375C2" w14:textId="58ACC272" w:rsidR="006924C1" w:rsidRPr="00BF230D" w:rsidRDefault="006924C1" w:rsidP="007E3E99">
      <w:pPr>
        <w:pStyle w:val="Sinespaciado"/>
        <w:ind w:left="426"/>
        <w:jc w:val="both"/>
        <w:rPr>
          <w:rFonts w:ascii="Times New Roman" w:hAnsi="Times New Roman" w:cs="Times New Roman"/>
          <w:lang w:val="es-MX"/>
        </w:rPr>
      </w:pPr>
    </w:p>
    <w:p w14:paraId="16FB86D0" w14:textId="3DC92255" w:rsidR="009E5719" w:rsidRDefault="008B7759" w:rsidP="00CD34D6">
      <w:pPr>
        <w:rPr>
          <w:rFonts w:cs="Times New Roman"/>
          <w:szCs w:val="22"/>
          <w:lang w:val="es-MX"/>
        </w:rPr>
      </w:pPr>
      <w:r>
        <w:rPr>
          <w:rFonts w:cs="Times New Roman"/>
          <w:szCs w:val="22"/>
          <w:lang w:val="es-MX"/>
        </w:rPr>
        <w:lastRenderedPageBreak/>
        <w:t>El gasto en</w:t>
      </w:r>
      <w:r w:rsidR="006924C1" w:rsidRPr="00BF230D">
        <w:rPr>
          <w:rFonts w:cs="Times New Roman"/>
          <w:szCs w:val="22"/>
          <w:lang w:val="es-MX"/>
        </w:rPr>
        <w:t xml:space="preserve"> remuneraciones fue el que tuvo el mayor aumento</w:t>
      </w:r>
      <w:r w:rsidR="0043129A">
        <w:rPr>
          <w:rFonts w:cs="Times New Roman"/>
          <w:szCs w:val="22"/>
          <w:lang w:val="es-MX"/>
        </w:rPr>
        <w:t xml:space="preserve"> acumulado</w:t>
      </w:r>
      <w:r>
        <w:rPr>
          <w:rFonts w:cs="Times New Roman"/>
          <w:szCs w:val="22"/>
          <w:lang w:val="es-MX"/>
        </w:rPr>
        <w:t xml:space="preserve"> al mes de marzo</w:t>
      </w:r>
      <w:r w:rsidR="007D29D3">
        <w:rPr>
          <w:rFonts w:cs="Times New Roman"/>
          <w:szCs w:val="22"/>
          <w:lang w:val="es-MX"/>
        </w:rPr>
        <w:t xml:space="preserve">, incrementándose en Q.816.2 millones más que en 2019 (una variación interanual </w:t>
      </w:r>
      <w:r w:rsidR="00EB58A5">
        <w:rPr>
          <w:rFonts w:cs="Times New Roman"/>
          <w:szCs w:val="22"/>
          <w:lang w:val="es-MX"/>
        </w:rPr>
        <w:t xml:space="preserve">del </w:t>
      </w:r>
      <w:r w:rsidR="00E26747">
        <w:rPr>
          <w:rFonts w:cs="Times New Roman"/>
          <w:szCs w:val="22"/>
          <w:lang w:val="es-MX"/>
        </w:rPr>
        <w:t>14.3%)</w:t>
      </w:r>
      <w:r w:rsidR="00F72A2B">
        <w:rPr>
          <w:rFonts w:cs="Times New Roman"/>
          <w:szCs w:val="22"/>
          <w:lang w:val="es-MX"/>
        </w:rPr>
        <w:t xml:space="preserve"> esto</w:t>
      </w:r>
      <w:r w:rsidR="00E40BD0">
        <w:rPr>
          <w:rFonts w:cs="Times New Roman"/>
          <w:szCs w:val="22"/>
          <w:lang w:val="es-MX"/>
        </w:rPr>
        <w:t xml:space="preserve"> principalmente</w:t>
      </w:r>
      <w:r w:rsidR="00F72A2B">
        <w:rPr>
          <w:rFonts w:cs="Times New Roman"/>
          <w:szCs w:val="22"/>
          <w:lang w:val="es-MX"/>
        </w:rPr>
        <w:t xml:space="preserve"> derivado a</w:t>
      </w:r>
      <w:r w:rsidR="00E40BD0">
        <w:rPr>
          <w:rFonts w:cs="Times New Roman"/>
          <w:szCs w:val="22"/>
          <w:lang w:val="es-MX"/>
        </w:rPr>
        <w:t xml:space="preserve"> </w:t>
      </w:r>
      <w:r w:rsidR="00D31F49">
        <w:rPr>
          <w:rFonts w:cs="Times New Roman"/>
          <w:szCs w:val="22"/>
          <w:lang w:val="es-MX"/>
        </w:rPr>
        <w:t xml:space="preserve">los incrementos salariales en </w:t>
      </w:r>
      <w:r w:rsidR="008218D0">
        <w:rPr>
          <w:rFonts w:cs="Times New Roman"/>
          <w:szCs w:val="22"/>
          <w:lang w:val="es-MX"/>
        </w:rPr>
        <w:t>los ministerios</w:t>
      </w:r>
      <w:r w:rsidR="00D31F49">
        <w:rPr>
          <w:rFonts w:cs="Times New Roman"/>
          <w:szCs w:val="22"/>
          <w:lang w:val="es-MX"/>
        </w:rPr>
        <w:t xml:space="preserve"> de Educación, Salud </w:t>
      </w:r>
      <w:r w:rsidR="008224A7">
        <w:rPr>
          <w:rFonts w:cs="Times New Roman"/>
          <w:szCs w:val="22"/>
          <w:lang w:val="es-MX"/>
        </w:rPr>
        <w:t>y Gobernación</w:t>
      </w:r>
      <w:r w:rsidR="00E40BD0">
        <w:rPr>
          <w:rFonts w:cs="Times New Roman"/>
          <w:szCs w:val="22"/>
          <w:lang w:val="es-MX"/>
        </w:rPr>
        <w:t>.</w:t>
      </w:r>
      <w:r w:rsidR="00757AFA">
        <w:rPr>
          <w:rFonts w:cs="Times New Roman"/>
          <w:szCs w:val="22"/>
          <w:lang w:val="es-MX"/>
        </w:rPr>
        <w:t xml:space="preserve"> </w:t>
      </w:r>
    </w:p>
    <w:p w14:paraId="6836E913" w14:textId="77777777" w:rsidR="009E5719" w:rsidRDefault="009E5719" w:rsidP="00CD34D6">
      <w:pPr>
        <w:rPr>
          <w:rFonts w:cs="Times New Roman"/>
          <w:szCs w:val="22"/>
          <w:lang w:val="es-MX"/>
        </w:rPr>
      </w:pPr>
    </w:p>
    <w:p w14:paraId="2C472C98" w14:textId="1A328763" w:rsidR="008F0529" w:rsidRDefault="00757AFA" w:rsidP="00CD34D6">
      <w:pPr>
        <w:rPr>
          <w:rFonts w:cs="Times New Roman"/>
          <w:szCs w:val="22"/>
          <w:lang w:val="es-MX"/>
        </w:rPr>
      </w:pPr>
      <w:r w:rsidRPr="00D319A6">
        <w:rPr>
          <w:rFonts w:cs="Times New Roman"/>
          <w:szCs w:val="22"/>
          <w:lang w:val="es-MX"/>
        </w:rPr>
        <w:t>L</w:t>
      </w:r>
      <w:r w:rsidR="007665A0" w:rsidRPr="00D319A6">
        <w:rPr>
          <w:rFonts w:cs="Times New Roman"/>
          <w:szCs w:val="22"/>
          <w:lang w:val="es-MX"/>
        </w:rPr>
        <w:t xml:space="preserve">os gastos </w:t>
      </w:r>
      <w:r w:rsidR="009E5719" w:rsidRPr="00D319A6">
        <w:rPr>
          <w:rFonts w:cs="Times New Roman"/>
          <w:szCs w:val="22"/>
          <w:lang w:val="es-MX"/>
        </w:rPr>
        <w:t xml:space="preserve">en </w:t>
      </w:r>
      <w:r w:rsidR="00B1620D" w:rsidRPr="00D319A6">
        <w:rPr>
          <w:rFonts w:cs="Times New Roman"/>
          <w:szCs w:val="22"/>
          <w:lang w:val="es-MX"/>
        </w:rPr>
        <w:t>intereses</w:t>
      </w:r>
      <w:r w:rsidR="007665A0" w:rsidRPr="00D319A6">
        <w:rPr>
          <w:rFonts w:cs="Times New Roman"/>
          <w:szCs w:val="22"/>
          <w:lang w:val="es-MX"/>
        </w:rPr>
        <w:t xml:space="preserve"> </w:t>
      </w:r>
      <w:r w:rsidR="009E5719" w:rsidRPr="00D319A6">
        <w:rPr>
          <w:rFonts w:cs="Times New Roman"/>
          <w:szCs w:val="22"/>
          <w:lang w:val="es-MX"/>
        </w:rPr>
        <w:t xml:space="preserve">de deuda pública </w:t>
      </w:r>
      <w:r w:rsidR="007665A0" w:rsidRPr="00D319A6">
        <w:rPr>
          <w:rFonts w:cs="Times New Roman"/>
          <w:szCs w:val="22"/>
          <w:lang w:val="es-MX"/>
        </w:rPr>
        <w:t xml:space="preserve">y por </w:t>
      </w:r>
      <w:r w:rsidR="009E5719" w:rsidRPr="00D319A6">
        <w:rPr>
          <w:rFonts w:cs="Times New Roman"/>
          <w:szCs w:val="22"/>
          <w:lang w:val="es-MX"/>
        </w:rPr>
        <w:t xml:space="preserve">el </w:t>
      </w:r>
      <w:r w:rsidR="007665A0" w:rsidRPr="00D319A6">
        <w:rPr>
          <w:rFonts w:cs="Times New Roman"/>
          <w:szCs w:val="22"/>
          <w:lang w:val="es-MX"/>
        </w:rPr>
        <w:t xml:space="preserve">uso de bienes y servicios también experimentaron incrementos interanuales </w:t>
      </w:r>
      <w:r w:rsidR="00474EF6" w:rsidRPr="00D319A6">
        <w:rPr>
          <w:rFonts w:cs="Times New Roman"/>
          <w:szCs w:val="22"/>
          <w:lang w:val="es-MX"/>
        </w:rPr>
        <w:t>acumulados</w:t>
      </w:r>
      <w:r w:rsidR="00482A2A" w:rsidRPr="00D319A6">
        <w:rPr>
          <w:rFonts w:cs="Times New Roman"/>
          <w:szCs w:val="22"/>
          <w:lang w:val="es-MX"/>
        </w:rPr>
        <w:t xml:space="preserve"> importantes por</w:t>
      </w:r>
      <w:r w:rsidR="00D15956" w:rsidRPr="00D319A6">
        <w:rPr>
          <w:rFonts w:cs="Times New Roman"/>
          <w:szCs w:val="22"/>
          <w:lang w:val="es-MX"/>
        </w:rPr>
        <w:t xml:space="preserve"> </w:t>
      </w:r>
      <w:r w:rsidR="009E064C" w:rsidRPr="00D319A6">
        <w:rPr>
          <w:rFonts w:cs="Times New Roman"/>
          <w:szCs w:val="22"/>
          <w:lang w:val="es-MX"/>
        </w:rPr>
        <w:t>Q</w:t>
      </w:r>
      <w:r w:rsidR="00D15956" w:rsidRPr="00D319A6">
        <w:rPr>
          <w:rFonts w:cs="Times New Roman"/>
          <w:szCs w:val="22"/>
          <w:lang w:val="es-MX"/>
        </w:rPr>
        <w:t>474.4</w:t>
      </w:r>
      <w:r w:rsidR="009E064C" w:rsidRPr="00D319A6">
        <w:rPr>
          <w:rFonts w:cs="Times New Roman"/>
          <w:szCs w:val="22"/>
          <w:lang w:val="es-MX"/>
        </w:rPr>
        <w:t xml:space="preserve"> millones</w:t>
      </w:r>
      <w:r w:rsidR="00474EF6" w:rsidRPr="00D319A6">
        <w:rPr>
          <w:rFonts w:cs="Times New Roman"/>
          <w:szCs w:val="22"/>
          <w:lang w:val="es-MX"/>
        </w:rPr>
        <w:t xml:space="preserve"> </w:t>
      </w:r>
      <w:r w:rsidR="009E064C" w:rsidRPr="00D319A6">
        <w:rPr>
          <w:rFonts w:cs="Times New Roman"/>
          <w:szCs w:val="22"/>
          <w:lang w:val="es-MX"/>
        </w:rPr>
        <w:t>(</w:t>
      </w:r>
      <w:r w:rsidR="00474EF6" w:rsidRPr="00D319A6">
        <w:rPr>
          <w:rFonts w:cs="Times New Roman"/>
          <w:szCs w:val="22"/>
          <w:lang w:val="es-MX"/>
        </w:rPr>
        <w:t>35.9%</w:t>
      </w:r>
      <w:r w:rsidR="009E064C" w:rsidRPr="00D319A6">
        <w:rPr>
          <w:rFonts w:cs="Times New Roman"/>
          <w:szCs w:val="22"/>
          <w:lang w:val="es-MX"/>
        </w:rPr>
        <w:t>)</w:t>
      </w:r>
      <w:r w:rsidR="00474EF6" w:rsidRPr="00D319A6">
        <w:rPr>
          <w:rFonts w:cs="Times New Roman"/>
          <w:szCs w:val="22"/>
          <w:lang w:val="es-MX"/>
        </w:rPr>
        <w:t xml:space="preserve"> y </w:t>
      </w:r>
      <w:r w:rsidR="009E064C" w:rsidRPr="00D319A6">
        <w:rPr>
          <w:rFonts w:cs="Times New Roman"/>
          <w:szCs w:val="22"/>
          <w:lang w:val="es-MX"/>
        </w:rPr>
        <w:t>Q165.8</w:t>
      </w:r>
      <w:r w:rsidR="009F58CC" w:rsidRPr="00D319A6">
        <w:rPr>
          <w:rFonts w:cs="Times New Roman"/>
          <w:szCs w:val="22"/>
          <w:lang w:val="es-MX"/>
        </w:rPr>
        <w:t xml:space="preserve"> millones</w:t>
      </w:r>
      <w:r w:rsidR="00A86244" w:rsidRPr="00D319A6">
        <w:rPr>
          <w:rFonts w:cs="Times New Roman"/>
          <w:szCs w:val="22"/>
          <w:lang w:val="es-MX"/>
        </w:rPr>
        <w:t xml:space="preserve"> (</w:t>
      </w:r>
      <w:r w:rsidR="001650AC" w:rsidRPr="00D319A6">
        <w:rPr>
          <w:rFonts w:cs="Times New Roman"/>
          <w:szCs w:val="22"/>
          <w:lang w:val="es-MX"/>
        </w:rPr>
        <w:t>14.2%</w:t>
      </w:r>
      <w:r w:rsidR="00A86244" w:rsidRPr="00D319A6">
        <w:rPr>
          <w:rFonts w:cs="Times New Roman"/>
          <w:szCs w:val="22"/>
          <w:lang w:val="es-MX"/>
        </w:rPr>
        <w:t>)</w:t>
      </w:r>
      <w:r w:rsidR="00304B36" w:rsidRPr="00D319A6">
        <w:rPr>
          <w:rFonts w:cs="Times New Roman"/>
          <w:szCs w:val="22"/>
          <w:lang w:val="es-MX"/>
        </w:rPr>
        <w:t xml:space="preserve"> </w:t>
      </w:r>
      <w:r w:rsidR="001650AC" w:rsidRPr="00D319A6">
        <w:rPr>
          <w:rFonts w:cs="Times New Roman"/>
          <w:szCs w:val="22"/>
          <w:lang w:val="es-MX"/>
        </w:rPr>
        <w:t>respectivamente</w:t>
      </w:r>
      <w:r w:rsidR="00167B5B" w:rsidRPr="00D319A6">
        <w:rPr>
          <w:rFonts w:cs="Times New Roman"/>
          <w:szCs w:val="22"/>
          <w:lang w:val="es-MX"/>
        </w:rPr>
        <w:t>.</w:t>
      </w:r>
      <w:r w:rsidR="00BA132E" w:rsidRPr="00D319A6">
        <w:rPr>
          <w:rFonts w:cs="Times New Roman"/>
          <w:szCs w:val="22"/>
          <w:lang w:val="es-MX"/>
        </w:rPr>
        <w:t xml:space="preserve"> </w:t>
      </w:r>
      <w:r w:rsidR="00A54701" w:rsidRPr="00D319A6">
        <w:rPr>
          <w:rFonts w:cs="Times New Roman"/>
          <w:szCs w:val="22"/>
          <w:lang w:val="es-MX"/>
        </w:rPr>
        <w:t>El aumento del pago de intereses se deb</w:t>
      </w:r>
      <w:r w:rsidR="00D71F73" w:rsidRPr="00D319A6">
        <w:rPr>
          <w:rFonts w:cs="Times New Roman"/>
          <w:szCs w:val="22"/>
          <w:lang w:val="es-MX"/>
        </w:rPr>
        <w:t>e</w:t>
      </w:r>
      <w:r w:rsidR="00A54701" w:rsidRPr="00D319A6">
        <w:rPr>
          <w:rFonts w:cs="Times New Roman"/>
          <w:szCs w:val="22"/>
          <w:lang w:val="es-MX"/>
        </w:rPr>
        <w:t xml:space="preserve"> a que en los últimos años se ha contratado más deuda pública para hacer frente a las necesidades de </w:t>
      </w:r>
      <w:r w:rsidR="00BE31ED" w:rsidRPr="00D319A6">
        <w:rPr>
          <w:rFonts w:cs="Times New Roman"/>
          <w:szCs w:val="22"/>
          <w:lang w:val="es-MX"/>
        </w:rPr>
        <w:t>financiamiento mientras</w:t>
      </w:r>
      <w:r w:rsidR="00C15E54" w:rsidRPr="00D319A6">
        <w:rPr>
          <w:rFonts w:cs="Times New Roman"/>
          <w:szCs w:val="22"/>
          <w:lang w:val="es-MX"/>
        </w:rPr>
        <w:t xml:space="preserve"> que e</w:t>
      </w:r>
      <w:r w:rsidR="00763A58" w:rsidRPr="00D319A6">
        <w:rPr>
          <w:rFonts w:cs="Times New Roman"/>
          <w:szCs w:val="22"/>
          <w:lang w:val="es-MX"/>
        </w:rPr>
        <w:t>l incremento en l</w:t>
      </w:r>
      <w:r w:rsidR="0015275F" w:rsidRPr="00D319A6">
        <w:rPr>
          <w:rFonts w:cs="Times New Roman"/>
          <w:szCs w:val="22"/>
          <w:lang w:val="es-MX"/>
        </w:rPr>
        <w:t xml:space="preserve">os gastos por uso de bienes y servicios </w:t>
      </w:r>
      <w:r w:rsidR="00763A58" w:rsidRPr="00D319A6">
        <w:rPr>
          <w:rFonts w:cs="Times New Roman"/>
          <w:szCs w:val="22"/>
          <w:lang w:val="es-MX"/>
        </w:rPr>
        <w:t xml:space="preserve">es </w:t>
      </w:r>
      <w:r w:rsidR="0015275F" w:rsidRPr="00D319A6">
        <w:rPr>
          <w:rFonts w:cs="Times New Roman"/>
          <w:szCs w:val="22"/>
          <w:lang w:val="es-MX"/>
        </w:rPr>
        <w:t xml:space="preserve">principalmente explicado por </w:t>
      </w:r>
      <w:r w:rsidR="002C1DC7" w:rsidRPr="00D319A6">
        <w:rPr>
          <w:rFonts w:cs="Times New Roman"/>
          <w:szCs w:val="22"/>
          <w:lang w:val="es-MX"/>
        </w:rPr>
        <w:t>los ministerios</w:t>
      </w:r>
      <w:r w:rsidR="0015275F" w:rsidRPr="00D319A6">
        <w:rPr>
          <w:rFonts w:cs="Times New Roman"/>
          <w:szCs w:val="22"/>
          <w:lang w:val="es-MX"/>
        </w:rPr>
        <w:t xml:space="preserve"> de </w:t>
      </w:r>
      <w:r w:rsidR="00106EF4" w:rsidRPr="00D319A6">
        <w:rPr>
          <w:rFonts w:cs="Times New Roman"/>
          <w:szCs w:val="22"/>
          <w:lang w:val="es-MX"/>
        </w:rPr>
        <w:t>Comunicaciones</w:t>
      </w:r>
      <w:r w:rsidR="004E6ACB" w:rsidRPr="00D319A6">
        <w:rPr>
          <w:rFonts w:cs="Times New Roman"/>
          <w:szCs w:val="22"/>
          <w:lang w:val="es-MX"/>
        </w:rPr>
        <w:t xml:space="preserve"> (una variación interanual de </w:t>
      </w:r>
      <w:r w:rsidR="00742B89" w:rsidRPr="00D319A6">
        <w:rPr>
          <w:rFonts w:cs="Times New Roman"/>
          <w:szCs w:val="22"/>
          <w:lang w:val="es-MX"/>
        </w:rPr>
        <w:t>Q118.2 millones)</w:t>
      </w:r>
      <w:r w:rsidR="005E1FFB" w:rsidRPr="00D319A6">
        <w:rPr>
          <w:rFonts w:cs="Times New Roman"/>
          <w:szCs w:val="22"/>
          <w:lang w:val="es-MX"/>
        </w:rPr>
        <w:t xml:space="preserve">, </w:t>
      </w:r>
      <w:r w:rsidR="002C1DC7" w:rsidRPr="00D319A6">
        <w:rPr>
          <w:rFonts w:cs="Times New Roman"/>
          <w:szCs w:val="22"/>
          <w:lang w:val="es-MX"/>
        </w:rPr>
        <w:t xml:space="preserve">de </w:t>
      </w:r>
      <w:r w:rsidR="00106EF4" w:rsidRPr="00D319A6">
        <w:rPr>
          <w:rFonts w:cs="Times New Roman"/>
          <w:szCs w:val="22"/>
          <w:lang w:val="es-MX"/>
        </w:rPr>
        <w:t>Gobernación</w:t>
      </w:r>
      <w:r w:rsidR="00742B89" w:rsidRPr="00D319A6">
        <w:rPr>
          <w:rFonts w:cs="Times New Roman"/>
          <w:szCs w:val="22"/>
          <w:lang w:val="es-MX"/>
        </w:rPr>
        <w:t xml:space="preserve"> (Q45.3 millones)</w:t>
      </w:r>
      <w:r w:rsidR="005E1FFB" w:rsidRPr="00D319A6">
        <w:rPr>
          <w:rFonts w:cs="Times New Roman"/>
          <w:szCs w:val="22"/>
          <w:lang w:val="es-MX"/>
        </w:rPr>
        <w:t xml:space="preserve"> y de Salud (Q40.9</w:t>
      </w:r>
      <w:r w:rsidR="00837C97" w:rsidRPr="00D319A6">
        <w:rPr>
          <w:rFonts w:cs="Times New Roman"/>
          <w:szCs w:val="22"/>
          <w:lang w:val="es-MX"/>
        </w:rPr>
        <w:t>)</w:t>
      </w:r>
      <w:r w:rsidR="00106EF4" w:rsidRPr="00D319A6">
        <w:rPr>
          <w:rFonts w:cs="Times New Roman"/>
          <w:szCs w:val="22"/>
          <w:lang w:val="es-MX"/>
        </w:rPr>
        <w:t>. Por</w:t>
      </w:r>
      <w:r w:rsidR="00C4186C" w:rsidRPr="00D319A6">
        <w:rPr>
          <w:rFonts w:cs="Times New Roman"/>
          <w:szCs w:val="22"/>
          <w:lang w:val="es-MX"/>
        </w:rPr>
        <w:t xml:space="preserve"> </w:t>
      </w:r>
      <w:r w:rsidR="00EC61C9" w:rsidRPr="00D319A6">
        <w:rPr>
          <w:rFonts w:cs="Times New Roman"/>
          <w:szCs w:val="22"/>
          <w:lang w:val="es-MX"/>
        </w:rPr>
        <w:t>último,</w:t>
      </w:r>
      <w:r w:rsidR="00C4186C" w:rsidRPr="00D319A6">
        <w:rPr>
          <w:rFonts w:cs="Times New Roman"/>
          <w:szCs w:val="22"/>
          <w:lang w:val="es-MX"/>
        </w:rPr>
        <w:t xml:space="preserve"> se destaca la diminución interanual</w:t>
      </w:r>
      <w:r w:rsidR="00C4059B" w:rsidRPr="00D319A6">
        <w:rPr>
          <w:rFonts w:cs="Times New Roman"/>
          <w:szCs w:val="22"/>
          <w:lang w:val="es-MX"/>
        </w:rPr>
        <w:t xml:space="preserve"> acumulada</w:t>
      </w:r>
      <w:r w:rsidR="00C4186C" w:rsidRPr="00D319A6">
        <w:rPr>
          <w:rFonts w:cs="Times New Roman"/>
          <w:szCs w:val="22"/>
          <w:lang w:val="es-MX"/>
        </w:rPr>
        <w:t xml:space="preserve"> observad</w:t>
      </w:r>
      <w:r w:rsidR="00EB341D" w:rsidRPr="00D319A6">
        <w:rPr>
          <w:rFonts w:cs="Times New Roman"/>
          <w:szCs w:val="22"/>
          <w:lang w:val="es-MX"/>
        </w:rPr>
        <w:t>a</w:t>
      </w:r>
      <w:r w:rsidR="00C4186C" w:rsidRPr="00D319A6">
        <w:rPr>
          <w:rFonts w:cs="Times New Roman"/>
          <w:szCs w:val="22"/>
          <w:lang w:val="es-MX"/>
        </w:rPr>
        <w:t xml:space="preserve"> en los gastos por donaciones</w:t>
      </w:r>
      <w:r w:rsidR="00EB341D" w:rsidRPr="00D319A6">
        <w:rPr>
          <w:rFonts w:cs="Times New Roman"/>
          <w:szCs w:val="22"/>
          <w:lang w:val="es-MX"/>
        </w:rPr>
        <w:t xml:space="preserve"> </w:t>
      </w:r>
      <w:r w:rsidR="00A86244" w:rsidRPr="00D319A6">
        <w:rPr>
          <w:rFonts w:cs="Times New Roman"/>
          <w:szCs w:val="22"/>
          <w:lang w:val="es-MX"/>
        </w:rPr>
        <w:t>por Q455.2 millones</w:t>
      </w:r>
      <w:r w:rsidR="00EB341D" w:rsidRPr="00D319A6">
        <w:rPr>
          <w:rFonts w:cs="Times New Roman"/>
          <w:szCs w:val="22"/>
          <w:lang w:val="es-MX"/>
        </w:rPr>
        <w:t xml:space="preserve"> </w:t>
      </w:r>
      <w:r w:rsidR="009F58CC" w:rsidRPr="00D319A6">
        <w:rPr>
          <w:rFonts w:cs="Times New Roman"/>
          <w:szCs w:val="22"/>
          <w:lang w:val="es-MX"/>
        </w:rPr>
        <w:t>(</w:t>
      </w:r>
      <w:r w:rsidR="00EB341D" w:rsidRPr="00D319A6">
        <w:rPr>
          <w:rFonts w:cs="Times New Roman"/>
          <w:szCs w:val="22"/>
          <w:lang w:val="es-MX"/>
        </w:rPr>
        <w:t>9.3%</w:t>
      </w:r>
      <w:r w:rsidR="009F58CC" w:rsidRPr="00D319A6">
        <w:rPr>
          <w:rFonts w:cs="Times New Roman"/>
          <w:szCs w:val="22"/>
          <w:lang w:val="es-MX"/>
        </w:rPr>
        <w:t>)</w:t>
      </w:r>
      <w:r w:rsidR="00C4186C" w:rsidRPr="00D319A6">
        <w:rPr>
          <w:rFonts w:cs="Times New Roman"/>
          <w:szCs w:val="22"/>
          <w:lang w:val="es-MX"/>
        </w:rPr>
        <w:t xml:space="preserve"> </w:t>
      </w:r>
      <w:r w:rsidR="00EB341D" w:rsidRPr="00D319A6">
        <w:rPr>
          <w:rFonts w:cs="Times New Roman"/>
          <w:szCs w:val="22"/>
          <w:lang w:val="es-MX"/>
        </w:rPr>
        <w:t>y la de otros gastos</w:t>
      </w:r>
      <w:r w:rsidR="009F58CC" w:rsidRPr="00D319A6">
        <w:rPr>
          <w:rFonts w:cs="Times New Roman"/>
          <w:szCs w:val="22"/>
          <w:lang w:val="es-MX"/>
        </w:rPr>
        <w:t xml:space="preserve"> por Q186.1 millones (</w:t>
      </w:r>
      <w:r w:rsidR="00297EA1" w:rsidRPr="00D319A6">
        <w:rPr>
          <w:rFonts w:cs="Times New Roman"/>
          <w:szCs w:val="22"/>
          <w:lang w:val="es-MX"/>
        </w:rPr>
        <w:t>12%</w:t>
      </w:r>
      <w:r w:rsidR="009F58CC" w:rsidRPr="00D319A6">
        <w:rPr>
          <w:rFonts w:cs="Times New Roman"/>
          <w:szCs w:val="22"/>
          <w:lang w:val="es-MX"/>
        </w:rPr>
        <w:t>).</w:t>
      </w:r>
    </w:p>
    <w:p w14:paraId="4085565C" w14:textId="327F2ADC" w:rsidR="004F701C" w:rsidRPr="004F701C" w:rsidRDefault="004F701C" w:rsidP="004F701C">
      <w:pPr>
        <w:rPr>
          <w:rFonts w:cs="Times New Roman"/>
          <w:szCs w:val="22"/>
          <w:lang w:val="es-MX"/>
        </w:rPr>
      </w:pPr>
    </w:p>
    <w:p w14:paraId="051E5CBD" w14:textId="34E269F1" w:rsidR="008B2529" w:rsidRDefault="006122C1" w:rsidP="008B2529">
      <w:pPr>
        <w:pStyle w:val="Prrafodelista"/>
        <w:numPr>
          <w:ilvl w:val="0"/>
          <w:numId w:val="1"/>
        </w:numPr>
        <w:ind w:left="426" w:hanging="426"/>
        <w:outlineLvl w:val="0"/>
        <w:rPr>
          <w:rFonts w:cs="Times New Roman"/>
          <w:b/>
          <w:sz w:val="24"/>
          <w:lang w:val="es-MX"/>
        </w:rPr>
      </w:pPr>
      <w:bookmarkStart w:id="238" w:name="_Toc42023961"/>
      <w:bookmarkStart w:id="239" w:name="_Toc42024013"/>
      <w:bookmarkStart w:id="240" w:name="_Toc42069111"/>
      <w:bookmarkStart w:id="241" w:name="_Toc411347499"/>
      <w:bookmarkEnd w:id="238"/>
      <w:bookmarkEnd w:id="239"/>
      <w:r w:rsidRPr="00BF230D">
        <w:rPr>
          <w:rFonts w:cs="Times New Roman"/>
          <w:b/>
          <w:sz w:val="24"/>
          <w:lang w:val="es-MX"/>
        </w:rPr>
        <w:t xml:space="preserve">Transacciones en Activos </w:t>
      </w:r>
      <w:r w:rsidR="00F4077C" w:rsidRPr="00BF230D">
        <w:rPr>
          <w:rFonts w:cs="Times New Roman"/>
          <w:b/>
          <w:sz w:val="24"/>
          <w:lang w:val="es-MX"/>
        </w:rPr>
        <w:t>No Financieros</w:t>
      </w:r>
      <w:bookmarkEnd w:id="240"/>
    </w:p>
    <w:p w14:paraId="3079688C" w14:textId="58D1019F" w:rsidR="00A72A8F" w:rsidRPr="00BF230D" w:rsidRDefault="006E4C13" w:rsidP="00C17472">
      <w:pPr>
        <w:rPr>
          <w:rFonts w:cs="Times New Roman"/>
          <w:sz w:val="24"/>
          <w:lang w:val="es-MX"/>
        </w:rPr>
      </w:pPr>
      <w:r w:rsidRPr="00594050">
        <w:rPr>
          <w:rFonts w:eastAsiaTheme="majorEastAsia"/>
          <w:noProof/>
          <w:lang w:val="es-ES_tradnl"/>
        </w:rPr>
        <w:drawing>
          <wp:inline distT="0" distB="0" distL="0" distR="0" wp14:anchorId="442F73B6" wp14:editId="36F2B396">
            <wp:extent cx="5836920" cy="876300"/>
            <wp:effectExtent l="76200" t="38100" r="87630" b="13335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6691AA13" w14:textId="77777777" w:rsidR="00A72A8F" w:rsidRPr="00BF230D" w:rsidRDefault="00A72A8F" w:rsidP="00A72A8F">
      <w:pPr>
        <w:pStyle w:val="Prrafodelista"/>
        <w:keepNext/>
        <w:keepLines/>
        <w:numPr>
          <w:ilvl w:val="0"/>
          <w:numId w:val="12"/>
        </w:numPr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242" w:name="_Toc33109793"/>
      <w:bookmarkStart w:id="243" w:name="_Toc33109836"/>
      <w:bookmarkStart w:id="244" w:name="_Toc33180557"/>
      <w:bookmarkStart w:id="245" w:name="_Toc33180651"/>
      <w:bookmarkStart w:id="246" w:name="_Toc33193548"/>
      <w:bookmarkStart w:id="247" w:name="_Toc33193587"/>
      <w:bookmarkStart w:id="248" w:name="_Toc33196784"/>
      <w:bookmarkStart w:id="249" w:name="_Toc40691760"/>
      <w:bookmarkStart w:id="250" w:name="_Toc40959160"/>
      <w:bookmarkStart w:id="251" w:name="_Toc40975994"/>
      <w:bookmarkStart w:id="252" w:name="_Toc40976063"/>
      <w:bookmarkStart w:id="253" w:name="_Toc40993318"/>
      <w:bookmarkStart w:id="254" w:name="_Toc40993700"/>
      <w:bookmarkStart w:id="255" w:name="_Toc41037576"/>
      <w:bookmarkStart w:id="256" w:name="_Toc41254136"/>
      <w:bookmarkStart w:id="257" w:name="_Toc41254168"/>
      <w:bookmarkStart w:id="258" w:name="_Toc41254188"/>
      <w:bookmarkStart w:id="259" w:name="_Toc42023964"/>
      <w:bookmarkStart w:id="260" w:name="_Toc42024015"/>
      <w:bookmarkStart w:id="261" w:name="_Toc42069112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79B9A6E4" w14:textId="630B0D93" w:rsidR="008B2529" w:rsidRPr="00BF230D" w:rsidRDefault="00D77222" w:rsidP="00C17472">
      <w:pPr>
        <w:pStyle w:val="Ttulo2"/>
        <w:numPr>
          <w:ilvl w:val="1"/>
          <w:numId w:val="12"/>
        </w:numPr>
        <w:spacing w:before="0"/>
        <w:ind w:left="567"/>
        <w:rPr>
          <w:rFonts w:ascii="Times New Roman" w:hAnsi="Times New Roman" w:cs="Times New Roman"/>
          <w:color w:val="auto"/>
          <w:sz w:val="24"/>
        </w:rPr>
      </w:pPr>
      <w:bookmarkStart w:id="262" w:name="_Toc42069113"/>
      <w:r>
        <w:rPr>
          <w:rFonts w:ascii="Times New Roman" w:hAnsi="Times New Roman" w:cs="Times New Roman"/>
          <w:color w:val="auto"/>
          <w:sz w:val="24"/>
        </w:rPr>
        <w:t xml:space="preserve">Menor </w:t>
      </w:r>
      <w:r w:rsidRPr="00BF230D">
        <w:rPr>
          <w:rFonts w:ascii="Times New Roman" w:hAnsi="Times New Roman" w:cs="Times New Roman"/>
          <w:color w:val="auto"/>
          <w:sz w:val="24"/>
        </w:rPr>
        <w:t>inversión en activos no financieros</w:t>
      </w:r>
      <w:bookmarkEnd w:id="262"/>
    </w:p>
    <w:p w14:paraId="4E6DEC0C" w14:textId="77777777" w:rsidR="00A72A8F" w:rsidRPr="00BF230D" w:rsidRDefault="00A72A8F" w:rsidP="00CD34D6">
      <w:pPr>
        <w:rPr>
          <w:rFonts w:cs="Times New Roman"/>
        </w:rPr>
      </w:pPr>
    </w:p>
    <w:p w14:paraId="7948699D" w14:textId="6D532285" w:rsidR="008B2529" w:rsidRPr="00BF230D" w:rsidRDefault="007A0EA7" w:rsidP="00CD34D6">
      <w:pPr>
        <w:rPr>
          <w:rFonts w:cs="Times New Roman"/>
          <w:szCs w:val="22"/>
        </w:rPr>
      </w:pPr>
      <w:r>
        <w:rPr>
          <w:rFonts w:cs="Times New Roman"/>
          <w:szCs w:val="22"/>
        </w:rPr>
        <w:t>La cifra</w:t>
      </w:r>
      <w:r w:rsidR="00C21B62">
        <w:rPr>
          <w:rFonts w:cs="Times New Roman"/>
          <w:szCs w:val="22"/>
        </w:rPr>
        <w:t xml:space="preserve"> preliminar</w:t>
      </w:r>
      <w:r>
        <w:rPr>
          <w:rFonts w:cs="Times New Roman"/>
          <w:szCs w:val="22"/>
        </w:rPr>
        <w:t xml:space="preserve"> </w:t>
      </w:r>
      <w:r w:rsidR="008E056A">
        <w:rPr>
          <w:rFonts w:cs="Times New Roman"/>
          <w:szCs w:val="22"/>
        </w:rPr>
        <w:t xml:space="preserve">acumulada a marzo de </w:t>
      </w:r>
      <w:r w:rsidR="00A72A8F" w:rsidRPr="00BF230D">
        <w:rPr>
          <w:rFonts w:cs="Times New Roman"/>
          <w:szCs w:val="22"/>
        </w:rPr>
        <w:t>la inversión bruta en activos no financieros</w:t>
      </w:r>
      <w:r w:rsidR="00C21B62">
        <w:rPr>
          <w:rFonts w:cs="Times New Roman"/>
          <w:szCs w:val="22"/>
        </w:rPr>
        <w:t xml:space="preserve"> haciende a </w:t>
      </w:r>
      <w:r w:rsidR="00111D58">
        <w:rPr>
          <w:rFonts w:cs="Times New Roman"/>
          <w:szCs w:val="22"/>
        </w:rPr>
        <w:t>Q</w:t>
      </w:r>
      <w:r w:rsidR="00C21B62">
        <w:rPr>
          <w:rFonts w:cs="Times New Roman"/>
          <w:szCs w:val="22"/>
        </w:rPr>
        <w:t xml:space="preserve">204.1 millones, por debajo en </w:t>
      </w:r>
      <w:r w:rsidR="00111D58">
        <w:rPr>
          <w:rFonts w:cs="Times New Roman"/>
          <w:szCs w:val="22"/>
        </w:rPr>
        <w:t>un 67.2%</w:t>
      </w:r>
      <w:r w:rsidR="00C82426">
        <w:rPr>
          <w:rFonts w:cs="Times New Roman"/>
          <w:szCs w:val="22"/>
        </w:rPr>
        <w:t xml:space="preserve"> con</w:t>
      </w:r>
      <w:r w:rsidR="00111D58">
        <w:rPr>
          <w:rFonts w:cs="Times New Roman"/>
          <w:szCs w:val="22"/>
        </w:rPr>
        <w:t xml:space="preserve"> relación</w:t>
      </w:r>
      <w:r w:rsidR="00BC5C19">
        <w:rPr>
          <w:rFonts w:cs="Times New Roman"/>
          <w:szCs w:val="22"/>
        </w:rPr>
        <w:t xml:space="preserve"> a lo observado al mismo período </w:t>
      </w:r>
      <w:r w:rsidR="00304B36">
        <w:rPr>
          <w:rFonts w:cs="Times New Roman"/>
          <w:szCs w:val="22"/>
        </w:rPr>
        <w:t>en 2019</w:t>
      </w:r>
      <w:r w:rsidR="009E5719">
        <w:rPr>
          <w:rFonts w:cs="Times New Roman"/>
          <w:szCs w:val="22"/>
        </w:rPr>
        <w:t xml:space="preserve"> </w:t>
      </w:r>
      <w:r w:rsidR="009E5719">
        <w:rPr>
          <w:rFonts w:cs="Times New Roman"/>
          <w:szCs w:val="22"/>
          <w:lang w:val="es-MX"/>
        </w:rPr>
        <w:t xml:space="preserve">(Q419.1 </w:t>
      </w:r>
      <w:r w:rsidR="008E001E">
        <w:rPr>
          <w:rFonts w:cs="Times New Roman"/>
          <w:szCs w:val="22"/>
          <w:lang w:val="es-MX"/>
        </w:rPr>
        <w:t xml:space="preserve">millones) </w:t>
      </w:r>
      <w:r w:rsidR="008E001E">
        <w:rPr>
          <w:rFonts w:cs="Times New Roman"/>
          <w:szCs w:val="22"/>
        </w:rPr>
        <w:t>pero</w:t>
      </w:r>
      <w:r w:rsidR="00F70A0E">
        <w:rPr>
          <w:rFonts w:cs="Times New Roman"/>
          <w:szCs w:val="22"/>
        </w:rPr>
        <w:t xml:space="preserve"> </w:t>
      </w:r>
      <w:r w:rsidR="008D5301">
        <w:rPr>
          <w:rFonts w:cs="Times New Roman"/>
          <w:szCs w:val="22"/>
        </w:rPr>
        <w:t>aú</w:t>
      </w:r>
      <w:r w:rsidR="00F70A0E">
        <w:rPr>
          <w:rFonts w:cs="Times New Roman"/>
          <w:szCs w:val="22"/>
        </w:rPr>
        <w:t>n por encima de los Q97.2 millones observados en 2018</w:t>
      </w:r>
      <w:r w:rsidR="00585A38">
        <w:rPr>
          <w:rFonts w:cs="Times New Roman"/>
          <w:szCs w:val="22"/>
        </w:rPr>
        <w:t>.</w:t>
      </w:r>
      <w:r w:rsidR="000C1F8D">
        <w:rPr>
          <w:rFonts w:cs="Times New Roman"/>
          <w:szCs w:val="22"/>
        </w:rPr>
        <w:t xml:space="preserve"> El principal aumento</w:t>
      </w:r>
      <w:r w:rsidR="007142F6">
        <w:rPr>
          <w:rFonts w:cs="Times New Roman"/>
          <w:szCs w:val="22"/>
        </w:rPr>
        <w:t xml:space="preserve"> proviene de los activos </w:t>
      </w:r>
      <w:r w:rsidR="00466F68">
        <w:rPr>
          <w:rFonts w:cs="Times New Roman"/>
          <w:szCs w:val="22"/>
        </w:rPr>
        <w:t xml:space="preserve">fijos, específicamente de edificios y estructuras </w:t>
      </w:r>
      <w:r w:rsidR="0028717E">
        <w:rPr>
          <w:rFonts w:cs="Times New Roman"/>
          <w:szCs w:val="22"/>
        </w:rPr>
        <w:t xml:space="preserve">el cual </w:t>
      </w:r>
      <w:r w:rsidR="005035EB">
        <w:rPr>
          <w:rFonts w:cs="Times New Roman"/>
          <w:szCs w:val="22"/>
        </w:rPr>
        <w:t xml:space="preserve">representa el </w:t>
      </w:r>
      <w:r w:rsidR="008507DF">
        <w:rPr>
          <w:rFonts w:cs="Times New Roman"/>
          <w:szCs w:val="22"/>
        </w:rPr>
        <w:t>95.6% del total de l</w:t>
      </w:r>
      <w:r w:rsidR="00DC3B9E">
        <w:rPr>
          <w:rFonts w:cs="Times New Roman"/>
          <w:szCs w:val="22"/>
        </w:rPr>
        <w:t>as inversiones brutas en activos no financieros</w:t>
      </w:r>
      <w:r w:rsidR="00414C97">
        <w:rPr>
          <w:rFonts w:cs="Times New Roman"/>
          <w:szCs w:val="22"/>
        </w:rPr>
        <w:t>, los cuales son ejecutados en un alto porcentaje por el Ministerio de Comunicaciones, Infraestructura y vivienda</w:t>
      </w:r>
    </w:p>
    <w:p w14:paraId="10E859C8" w14:textId="36EE743C" w:rsidR="002E4264" w:rsidRPr="00BF230D" w:rsidRDefault="005053A8" w:rsidP="00E846A3">
      <w:pPr>
        <w:jc w:val="center"/>
        <w:rPr>
          <w:rFonts w:cs="Times New Roman"/>
          <w:b/>
          <w:lang w:val="es-MX"/>
        </w:rPr>
      </w:pPr>
      <w:r>
        <w:rPr>
          <w:noProof/>
        </w:rPr>
        <w:drawing>
          <wp:inline distT="0" distB="0" distL="0" distR="0" wp14:anchorId="74EDF39E" wp14:editId="4ECDF7B2">
            <wp:extent cx="5769610" cy="2857500"/>
            <wp:effectExtent l="0" t="0" r="254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AA32802-BCA5-4076-8A82-E1979E4478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DAB19A7" w14:textId="77777777" w:rsidR="008B2529" w:rsidRPr="00BF230D" w:rsidRDefault="008B2529" w:rsidP="0055206D">
      <w:pPr>
        <w:ind w:left="142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1803F822" w14:textId="6D469948" w:rsidR="008B2529" w:rsidRDefault="008B2529" w:rsidP="0055206D">
      <w:pPr>
        <w:ind w:left="142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4873511F" w14:textId="77777777" w:rsidR="002D5DEA" w:rsidRDefault="002D5DEA" w:rsidP="0055206D">
      <w:pPr>
        <w:ind w:left="142"/>
        <w:rPr>
          <w:rFonts w:cs="Times New Roman"/>
          <w:sz w:val="16"/>
          <w:szCs w:val="22"/>
          <w:lang w:val="es-MX"/>
        </w:rPr>
      </w:pPr>
    </w:p>
    <w:p w14:paraId="4C082A4D" w14:textId="213E0A83" w:rsidR="003554AC" w:rsidRDefault="00D77222" w:rsidP="003554AC">
      <w:pPr>
        <w:pStyle w:val="Ttulo2"/>
        <w:numPr>
          <w:ilvl w:val="1"/>
          <w:numId w:val="12"/>
        </w:numPr>
        <w:spacing w:before="0"/>
        <w:ind w:left="567"/>
        <w:rPr>
          <w:rFonts w:ascii="Times New Roman" w:hAnsi="Times New Roman" w:cs="Times New Roman"/>
          <w:color w:val="auto"/>
          <w:sz w:val="24"/>
        </w:rPr>
      </w:pPr>
      <w:bookmarkStart w:id="263" w:name="_Toc42023966"/>
      <w:bookmarkStart w:id="264" w:name="_Toc42024017"/>
      <w:bookmarkStart w:id="265" w:name="_Toc42023967"/>
      <w:bookmarkStart w:id="266" w:name="_Toc42024018"/>
      <w:bookmarkStart w:id="267" w:name="_Toc42069114"/>
      <w:bookmarkEnd w:id="263"/>
      <w:bookmarkEnd w:id="264"/>
      <w:bookmarkEnd w:id="265"/>
      <w:bookmarkEnd w:id="266"/>
      <w:r>
        <w:rPr>
          <w:rFonts w:ascii="Times New Roman" w:hAnsi="Times New Roman" w:cs="Times New Roman"/>
          <w:color w:val="auto"/>
          <w:sz w:val="24"/>
        </w:rPr>
        <w:lastRenderedPageBreak/>
        <w:t>Aumento en el i</w:t>
      </w:r>
      <w:r w:rsidR="004F7FAD" w:rsidRPr="004F7FAD">
        <w:rPr>
          <w:rFonts w:ascii="Times New Roman" w:hAnsi="Times New Roman" w:cs="Times New Roman"/>
          <w:color w:val="auto"/>
          <w:sz w:val="24"/>
        </w:rPr>
        <w:t>ncurrimiento neto de pasivos</w:t>
      </w:r>
      <w:bookmarkEnd w:id="267"/>
    </w:p>
    <w:p w14:paraId="57E3929E" w14:textId="20867634" w:rsidR="00122F2F" w:rsidRDefault="00122F2F" w:rsidP="00122F2F">
      <w:r>
        <w:t xml:space="preserve">El </w:t>
      </w:r>
      <w:r w:rsidR="00687AFB">
        <w:t>incurrimiento neto</w:t>
      </w:r>
      <w:r>
        <w:t xml:space="preserve"> de pasivos </w:t>
      </w:r>
      <w:r w:rsidR="0021724C">
        <w:t xml:space="preserve">al mes de marzo es de Q1,732.3 millones de los cuales </w:t>
      </w:r>
      <w:r w:rsidR="00EA0FD5">
        <w:t>provienen de un incremento neto de los títulos de deuda por Q.2,516.2 millones</w:t>
      </w:r>
      <w:r w:rsidR="00414C97">
        <w:t>, los cuales provienen principalmente de la colocación de Bonos del Tesoro</w:t>
      </w:r>
      <w:r w:rsidR="00F93A1F">
        <w:t>,</w:t>
      </w:r>
      <w:r w:rsidR="00E17E53">
        <w:t xml:space="preserve"> y una disminución (por amortizaciones) en las cuentas de </w:t>
      </w:r>
      <w:r w:rsidR="007F5819">
        <w:t>préstamos</w:t>
      </w:r>
      <w:r w:rsidR="00E210F5">
        <w:t xml:space="preserve"> </w:t>
      </w:r>
      <w:r w:rsidR="00414C97">
        <w:t xml:space="preserve">externos </w:t>
      </w:r>
      <w:r w:rsidR="00E210F5">
        <w:t>por Q.783.9 millones</w:t>
      </w:r>
      <w:r w:rsidR="00F674B9">
        <w:t>.</w:t>
      </w:r>
    </w:p>
    <w:p w14:paraId="61716B5A" w14:textId="77777777" w:rsidR="00996BD9" w:rsidRDefault="00996BD9" w:rsidP="00122F2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68"/>
      </w:tblGrid>
      <w:tr w:rsidR="0061446B" w14:paraId="5A6B12E2" w14:textId="77777777" w:rsidTr="00C17472">
        <w:trPr>
          <w:trHeight w:val="565"/>
        </w:trPr>
        <w:tc>
          <w:tcPr>
            <w:tcW w:w="9404" w:type="dxa"/>
            <w:gridSpan w:val="2"/>
          </w:tcPr>
          <w:p w14:paraId="4C44021A" w14:textId="3DD516A0" w:rsidR="0061446B" w:rsidRPr="00C17472" w:rsidRDefault="0061446B" w:rsidP="000D2DE9">
            <w:pPr>
              <w:jc w:val="center"/>
              <w:rPr>
                <w:b/>
                <w:bCs/>
              </w:rPr>
            </w:pPr>
            <w:r w:rsidRPr="00C17472">
              <w:rPr>
                <w:b/>
                <w:bCs/>
              </w:rPr>
              <w:t>Incurrimiento neto de pasivos</w:t>
            </w:r>
            <w:r w:rsidR="009D176B">
              <w:rPr>
                <w:b/>
                <w:bCs/>
              </w:rPr>
              <w:t xml:space="preserve"> 2020</w:t>
            </w:r>
            <w:r w:rsidR="009D176B" w:rsidRPr="00C17472">
              <w:rPr>
                <w:b/>
                <w:bCs/>
              </w:rPr>
              <w:t>*</w:t>
            </w:r>
          </w:p>
          <w:p w14:paraId="1D8D8D1B" w14:textId="68E6BD4C" w:rsidR="0061446B" w:rsidRDefault="0061446B" w:rsidP="00D319A6">
            <w:pPr>
              <w:jc w:val="center"/>
            </w:pPr>
            <w:r w:rsidRPr="00C17472">
              <w:rPr>
                <w:sz w:val="20"/>
                <w:szCs w:val="22"/>
              </w:rPr>
              <w:t xml:space="preserve">En </w:t>
            </w:r>
            <w:r w:rsidR="006535F3" w:rsidRPr="006535F3">
              <w:rPr>
                <w:sz w:val="20"/>
                <w:szCs w:val="22"/>
              </w:rPr>
              <w:t>millones</w:t>
            </w:r>
            <w:r w:rsidRPr="00C17472">
              <w:rPr>
                <w:sz w:val="20"/>
                <w:szCs w:val="22"/>
              </w:rPr>
              <w:t xml:space="preserve"> de Quetzales</w:t>
            </w:r>
          </w:p>
        </w:tc>
      </w:tr>
      <w:tr w:rsidR="00D36792" w14:paraId="4F3B5502" w14:textId="77777777" w:rsidTr="00C17472">
        <w:tc>
          <w:tcPr>
            <w:tcW w:w="4536" w:type="dxa"/>
          </w:tcPr>
          <w:p w14:paraId="58C04C48" w14:textId="24E3E229" w:rsidR="00F674B9" w:rsidRPr="00146C6D" w:rsidRDefault="00F674B9" w:rsidP="00122F2F">
            <w:r w:rsidRPr="00146C6D">
              <w:rPr>
                <w:noProof/>
              </w:rPr>
              <w:drawing>
                <wp:inline distT="0" distB="0" distL="0" distR="0" wp14:anchorId="4F3AC779" wp14:editId="40D54FA0">
                  <wp:extent cx="2926080" cy="2583180"/>
                  <wp:effectExtent l="0" t="0" r="7620" b="7620"/>
                  <wp:docPr id="10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14:paraId="643B3A60" w14:textId="2C0681A2" w:rsidR="00F674B9" w:rsidRPr="00D36792" w:rsidRDefault="00311363" w:rsidP="00122F2F">
            <w:r w:rsidRPr="00D36792">
              <w:rPr>
                <w:noProof/>
              </w:rPr>
              <w:drawing>
                <wp:inline distT="0" distB="0" distL="0" distR="0" wp14:anchorId="10A80184" wp14:editId="7878E8FC">
                  <wp:extent cx="2766060" cy="2613660"/>
                  <wp:effectExtent l="0" t="0" r="0" b="0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14:paraId="6A5269AC" w14:textId="77777777" w:rsidR="00757CF9" w:rsidRPr="00BF230D" w:rsidRDefault="00757CF9" w:rsidP="00C17472">
      <w:pPr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76ACDBF3" w14:textId="258377EF" w:rsidR="00757CF9" w:rsidRDefault="00757CF9" w:rsidP="00C17472">
      <w:pPr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64BBF703" w14:textId="77777777" w:rsidR="00235A61" w:rsidRPr="003F40EE" w:rsidRDefault="00235A61" w:rsidP="00024FF6">
      <w:pPr>
        <w:ind w:left="1276"/>
      </w:pPr>
    </w:p>
    <w:p w14:paraId="428D9A63" w14:textId="5232F735" w:rsidR="00757CF9" w:rsidRDefault="00757CF9" w:rsidP="005254D5"/>
    <w:p w14:paraId="36D61A0C" w14:textId="43923855" w:rsidR="00F4077C" w:rsidRPr="00B1487F" w:rsidRDefault="00F4077C" w:rsidP="00C34A03">
      <w:pPr>
        <w:pStyle w:val="Prrafodelista"/>
        <w:numPr>
          <w:ilvl w:val="0"/>
          <w:numId w:val="1"/>
        </w:numPr>
        <w:ind w:left="426" w:hanging="426"/>
        <w:outlineLvl w:val="0"/>
        <w:rPr>
          <w:rFonts w:eastAsiaTheme="majorEastAsia" w:cs="Times New Roman"/>
          <w:b/>
          <w:bCs/>
          <w:sz w:val="24"/>
          <w:szCs w:val="26"/>
          <w:lang w:val="es-ES_tradnl" w:eastAsia="es-ES"/>
        </w:rPr>
      </w:pPr>
      <w:bookmarkStart w:id="268" w:name="_Toc42023970"/>
      <w:bookmarkStart w:id="269" w:name="_Toc42024021"/>
      <w:bookmarkStart w:id="270" w:name="_Toc42023971"/>
      <w:bookmarkStart w:id="271" w:name="_Toc42024022"/>
      <w:bookmarkStart w:id="272" w:name="_Toc42023972"/>
      <w:bookmarkStart w:id="273" w:name="_Toc42024023"/>
      <w:bookmarkStart w:id="274" w:name="_Toc42023973"/>
      <w:bookmarkStart w:id="275" w:name="_Toc42024024"/>
      <w:bookmarkStart w:id="276" w:name="_Toc42069115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B1487F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>Erogaciones</w:t>
      </w:r>
      <w:r w:rsidR="00B50E45" w:rsidRPr="00B1487F">
        <w:rPr>
          <w:rFonts w:eastAsiaTheme="majorEastAsia" w:cs="Times New Roman"/>
          <w:b/>
          <w:bCs/>
          <w:sz w:val="24"/>
          <w:szCs w:val="26"/>
          <w:lang w:val="es-ES_tradnl" w:eastAsia="es-ES"/>
        </w:rPr>
        <w:t xml:space="preserve"> del Gobierno Central Presupuestario</w:t>
      </w:r>
      <w:bookmarkEnd w:id="276"/>
    </w:p>
    <w:p w14:paraId="05EC6345" w14:textId="162B0184" w:rsidR="007A76CD" w:rsidRDefault="007A76CD" w:rsidP="00594050">
      <w:pPr>
        <w:rPr>
          <w:rFonts w:cs="Times New Roman"/>
        </w:rPr>
      </w:pPr>
      <w:r>
        <w:rPr>
          <w:rFonts w:eastAsiaTheme="majorEastAsia"/>
          <w:noProof/>
          <w:lang w:val="es-ES_tradnl"/>
        </w:rPr>
        <w:drawing>
          <wp:inline distT="0" distB="0" distL="0" distR="0" wp14:anchorId="77325B34" wp14:editId="46E6641B">
            <wp:extent cx="5836920" cy="876300"/>
            <wp:effectExtent l="76200" t="38100" r="87630" b="11430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54E52DAC" w14:textId="77777777" w:rsidR="00490038" w:rsidRPr="00490038" w:rsidRDefault="00490038" w:rsidP="00490038">
      <w:pPr>
        <w:pStyle w:val="Prrafodelista"/>
        <w:keepNext/>
        <w:keepLines/>
        <w:numPr>
          <w:ilvl w:val="0"/>
          <w:numId w:val="43"/>
        </w:numPr>
        <w:spacing w:after="12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277" w:name="_Toc42023975"/>
      <w:bookmarkStart w:id="278" w:name="_Toc42024026"/>
      <w:bookmarkStart w:id="279" w:name="_Toc42069116"/>
      <w:bookmarkEnd w:id="277"/>
      <w:bookmarkEnd w:id="278"/>
      <w:bookmarkEnd w:id="279"/>
    </w:p>
    <w:p w14:paraId="2121B5CB" w14:textId="77777777" w:rsidR="00490038" w:rsidRPr="00490038" w:rsidRDefault="00490038" w:rsidP="00490038">
      <w:pPr>
        <w:pStyle w:val="Prrafodelista"/>
        <w:keepNext/>
        <w:keepLines/>
        <w:numPr>
          <w:ilvl w:val="0"/>
          <w:numId w:val="43"/>
        </w:numPr>
        <w:spacing w:after="12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280" w:name="_Toc42023976"/>
      <w:bookmarkStart w:id="281" w:name="_Toc42024027"/>
      <w:bookmarkStart w:id="282" w:name="_Toc42069117"/>
      <w:bookmarkEnd w:id="280"/>
      <w:bookmarkEnd w:id="281"/>
      <w:bookmarkEnd w:id="282"/>
    </w:p>
    <w:p w14:paraId="52353395" w14:textId="77777777" w:rsidR="00490038" w:rsidRPr="00490038" w:rsidRDefault="00490038" w:rsidP="00490038">
      <w:pPr>
        <w:pStyle w:val="Prrafodelista"/>
        <w:keepNext/>
        <w:keepLines/>
        <w:numPr>
          <w:ilvl w:val="0"/>
          <w:numId w:val="43"/>
        </w:numPr>
        <w:spacing w:after="12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283" w:name="_Toc42023977"/>
      <w:bookmarkStart w:id="284" w:name="_Toc42024028"/>
      <w:bookmarkStart w:id="285" w:name="_Toc42069118"/>
      <w:bookmarkEnd w:id="283"/>
      <w:bookmarkEnd w:id="284"/>
      <w:bookmarkEnd w:id="285"/>
    </w:p>
    <w:p w14:paraId="13017281" w14:textId="77777777" w:rsidR="00490038" w:rsidRPr="00490038" w:rsidRDefault="00490038" w:rsidP="00490038">
      <w:pPr>
        <w:pStyle w:val="Prrafodelista"/>
        <w:keepNext/>
        <w:keepLines/>
        <w:numPr>
          <w:ilvl w:val="0"/>
          <w:numId w:val="43"/>
        </w:numPr>
        <w:spacing w:after="12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286" w:name="_Toc42023978"/>
      <w:bookmarkStart w:id="287" w:name="_Toc42024029"/>
      <w:bookmarkStart w:id="288" w:name="_Toc42069119"/>
      <w:bookmarkEnd w:id="286"/>
      <w:bookmarkEnd w:id="287"/>
      <w:bookmarkEnd w:id="288"/>
    </w:p>
    <w:p w14:paraId="0AE5E41B" w14:textId="37C50B78" w:rsidR="00490038" w:rsidRPr="00D319A6" w:rsidRDefault="00490038" w:rsidP="00C17472">
      <w:pPr>
        <w:pStyle w:val="Ttulo2"/>
        <w:numPr>
          <w:ilvl w:val="1"/>
          <w:numId w:val="43"/>
        </w:numPr>
        <w:spacing w:before="0"/>
        <w:ind w:left="567" w:hanging="283"/>
        <w:rPr>
          <w:rFonts w:cs="Times New Roman"/>
          <w:sz w:val="24"/>
        </w:rPr>
      </w:pPr>
      <w:bookmarkStart w:id="289" w:name="_Toc42069120"/>
      <w:r>
        <w:rPr>
          <w:rFonts w:ascii="Times New Roman" w:hAnsi="Times New Roman" w:cs="Times New Roman"/>
          <w:color w:val="auto"/>
          <w:sz w:val="24"/>
        </w:rPr>
        <w:t>Erogaciones por Función</w:t>
      </w:r>
      <w:bookmarkEnd w:id="289"/>
    </w:p>
    <w:p w14:paraId="15837663" w14:textId="48558299" w:rsidR="00656A22" w:rsidRDefault="00537655" w:rsidP="00CD34D6">
      <w:pPr>
        <w:rPr>
          <w:rFonts w:cs="Times New Roman"/>
        </w:rPr>
      </w:pPr>
      <w:r w:rsidRPr="00B1487F">
        <w:rPr>
          <w:rFonts w:cs="Times New Roman"/>
        </w:rPr>
        <w:t xml:space="preserve">Las </w:t>
      </w:r>
      <w:r w:rsidR="00205055" w:rsidRPr="00B1487F">
        <w:rPr>
          <w:rFonts w:cs="Times New Roman"/>
        </w:rPr>
        <w:t xml:space="preserve">cifras </w:t>
      </w:r>
      <w:r w:rsidR="0032255F" w:rsidRPr="00B1487F">
        <w:rPr>
          <w:rFonts w:cs="Times New Roman"/>
        </w:rPr>
        <w:t>acumuladas a marzo de 2020</w:t>
      </w:r>
      <w:r w:rsidR="00205055" w:rsidRPr="00B1487F">
        <w:rPr>
          <w:rFonts w:cs="Times New Roman"/>
        </w:rPr>
        <w:t xml:space="preserve"> muestran </w:t>
      </w:r>
      <w:r w:rsidR="0032255F" w:rsidRPr="00B1487F">
        <w:rPr>
          <w:rFonts w:cs="Times New Roman"/>
        </w:rPr>
        <w:t xml:space="preserve">un </w:t>
      </w:r>
      <w:r w:rsidR="00CD14D8" w:rsidRPr="00B1487F">
        <w:rPr>
          <w:rFonts w:cs="Times New Roman"/>
        </w:rPr>
        <w:t>total de Q.16,885.9 millones</w:t>
      </w:r>
      <w:r w:rsidR="00511FA4" w:rsidRPr="00B1487F">
        <w:rPr>
          <w:rFonts w:cs="Times New Roman"/>
        </w:rPr>
        <w:t xml:space="preserve"> en erogaciones </w:t>
      </w:r>
      <w:r w:rsidR="008B0203" w:rsidRPr="00B1487F">
        <w:rPr>
          <w:rFonts w:cs="Times New Roman"/>
        </w:rPr>
        <w:t>lo cual es un incremento interanual del 2.4% en comparación a 2019.</w:t>
      </w:r>
      <w:r w:rsidR="00BA7A2D">
        <w:rPr>
          <w:rFonts w:cs="Times New Roman"/>
        </w:rPr>
        <w:t xml:space="preserve"> </w:t>
      </w:r>
      <w:r w:rsidR="000E51BC" w:rsidRPr="00B1487F">
        <w:rPr>
          <w:rFonts w:cs="Times New Roman"/>
        </w:rPr>
        <w:t xml:space="preserve">El mayor aumento se produce en </w:t>
      </w:r>
      <w:r w:rsidR="00143578" w:rsidRPr="00B1487F">
        <w:rPr>
          <w:rFonts w:cs="Times New Roman"/>
        </w:rPr>
        <w:t xml:space="preserve">erogaciones dirigidas al ordenamiento público y </w:t>
      </w:r>
      <w:r w:rsidR="00EF529C" w:rsidRPr="00B1487F">
        <w:rPr>
          <w:rFonts w:cs="Times New Roman"/>
        </w:rPr>
        <w:t>seguridad</w:t>
      </w:r>
      <w:r w:rsidR="00BE546F">
        <w:rPr>
          <w:rFonts w:cs="Times New Roman"/>
        </w:rPr>
        <w:t>,</w:t>
      </w:r>
      <w:r w:rsidR="00EF529C" w:rsidRPr="00B1487F">
        <w:rPr>
          <w:rFonts w:cs="Times New Roman"/>
        </w:rPr>
        <w:t xml:space="preserve"> </w:t>
      </w:r>
      <w:r w:rsidR="00AC6E57" w:rsidRPr="00B1487F">
        <w:rPr>
          <w:rFonts w:cs="Times New Roman"/>
        </w:rPr>
        <w:t>el</w:t>
      </w:r>
      <w:r w:rsidR="00EF529C" w:rsidRPr="00B1487F">
        <w:rPr>
          <w:rFonts w:cs="Times New Roman"/>
        </w:rPr>
        <w:t xml:space="preserve"> cual aument</w:t>
      </w:r>
      <w:r w:rsidR="00BE546F">
        <w:rPr>
          <w:rFonts w:cs="Times New Roman"/>
        </w:rPr>
        <w:t>ó</w:t>
      </w:r>
      <w:r w:rsidR="00EF529C" w:rsidRPr="00B1487F">
        <w:rPr>
          <w:rFonts w:cs="Times New Roman"/>
        </w:rPr>
        <w:t xml:space="preserve"> </w:t>
      </w:r>
      <w:r w:rsidR="000A47FE" w:rsidRPr="00B1487F">
        <w:rPr>
          <w:rFonts w:cs="Times New Roman"/>
        </w:rPr>
        <w:t>interanualmente en</w:t>
      </w:r>
      <w:r w:rsidR="004157B9">
        <w:rPr>
          <w:rFonts w:cs="Times New Roman"/>
        </w:rPr>
        <w:t xml:space="preserve"> Q</w:t>
      </w:r>
      <w:r w:rsidR="00433001">
        <w:rPr>
          <w:rFonts w:cs="Times New Roman"/>
        </w:rPr>
        <w:t>388.9 millones (</w:t>
      </w:r>
      <w:r w:rsidR="000A47FE" w:rsidRPr="00B1487F">
        <w:rPr>
          <w:rFonts w:cs="Times New Roman"/>
        </w:rPr>
        <w:t>18.6%</w:t>
      </w:r>
      <w:r w:rsidR="00433001">
        <w:rPr>
          <w:rFonts w:cs="Times New Roman"/>
        </w:rPr>
        <w:t>)</w:t>
      </w:r>
      <w:r w:rsidR="00F225A3" w:rsidRPr="00B1487F">
        <w:rPr>
          <w:rFonts w:cs="Times New Roman"/>
        </w:rPr>
        <w:t xml:space="preserve">, específicamente por </w:t>
      </w:r>
      <w:r w:rsidR="00354481">
        <w:rPr>
          <w:rFonts w:cs="Times New Roman"/>
        </w:rPr>
        <w:t xml:space="preserve">los </w:t>
      </w:r>
      <w:r w:rsidR="006F265F" w:rsidRPr="00B1487F">
        <w:rPr>
          <w:rFonts w:cs="Times New Roman"/>
        </w:rPr>
        <w:t xml:space="preserve">servicios de </w:t>
      </w:r>
      <w:r w:rsidR="00003BA5" w:rsidRPr="00B1487F">
        <w:rPr>
          <w:rFonts w:cs="Times New Roman"/>
        </w:rPr>
        <w:t>policía</w:t>
      </w:r>
      <w:r w:rsidR="00354481">
        <w:rPr>
          <w:rFonts w:cs="Times New Roman"/>
        </w:rPr>
        <w:t xml:space="preserve">, el cual </w:t>
      </w:r>
      <w:r w:rsidR="003E5859" w:rsidRPr="00B1487F">
        <w:rPr>
          <w:rFonts w:cs="Times New Roman"/>
        </w:rPr>
        <w:t>tuvo</w:t>
      </w:r>
      <w:r w:rsidR="00354481">
        <w:rPr>
          <w:rFonts w:cs="Times New Roman"/>
        </w:rPr>
        <w:t xml:space="preserve"> una</w:t>
      </w:r>
      <w:r w:rsidR="003E5859" w:rsidRPr="00B1487F">
        <w:rPr>
          <w:rFonts w:cs="Times New Roman"/>
        </w:rPr>
        <w:t xml:space="preserve"> </w:t>
      </w:r>
      <w:r w:rsidR="00003BA5" w:rsidRPr="00B1487F">
        <w:rPr>
          <w:rFonts w:cs="Times New Roman"/>
        </w:rPr>
        <w:t xml:space="preserve">variación interanual acumulada </w:t>
      </w:r>
      <w:r w:rsidR="00035E51">
        <w:rPr>
          <w:rFonts w:cs="Times New Roman"/>
        </w:rPr>
        <w:t xml:space="preserve">de </w:t>
      </w:r>
      <w:r w:rsidR="00F236A2" w:rsidRPr="00B1487F">
        <w:rPr>
          <w:rFonts w:cs="Times New Roman"/>
        </w:rPr>
        <w:t xml:space="preserve"> </w:t>
      </w:r>
      <w:r w:rsidR="00575935" w:rsidRPr="00B1487F">
        <w:rPr>
          <w:rFonts w:cs="Times New Roman"/>
        </w:rPr>
        <w:t>Q180.7 millones en comparación al mismo periodo el año previo</w:t>
      </w:r>
      <w:r w:rsidR="00EF529C" w:rsidRPr="00B1487F">
        <w:rPr>
          <w:rFonts w:cs="Times New Roman"/>
        </w:rPr>
        <w:t>.</w:t>
      </w:r>
      <w:r w:rsidR="00656A22">
        <w:rPr>
          <w:rFonts w:cs="Times New Roman"/>
        </w:rPr>
        <w:t xml:space="preserve"> </w:t>
      </w:r>
      <w:r w:rsidR="00656A22" w:rsidRPr="00D319A6">
        <w:rPr>
          <w:rFonts w:cs="Times New Roman"/>
        </w:rPr>
        <w:t xml:space="preserve">Cabe también mencionar que las erogaciones </w:t>
      </w:r>
      <w:r w:rsidR="00773DB2" w:rsidRPr="00D319A6">
        <w:rPr>
          <w:rFonts w:cs="Times New Roman"/>
        </w:rPr>
        <w:t xml:space="preserve">por concepto de salud experimentaron un incremento interanual de </w:t>
      </w:r>
      <w:r w:rsidR="0051376E" w:rsidRPr="00D319A6">
        <w:rPr>
          <w:rFonts w:cs="Times New Roman"/>
        </w:rPr>
        <w:t>Q202 millones (16.4%)</w:t>
      </w:r>
      <w:r w:rsidR="0075620D" w:rsidRPr="00D319A6">
        <w:rPr>
          <w:rFonts w:cs="Times New Roman"/>
        </w:rPr>
        <w:t xml:space="preserve"> siendo los aumentos </w:t>
      </w:r>
      <w:r w:rsidR="009D0485" w:rsidRPr="00D319A6">
        <w:rPr>
          <w:rFonts w:cs="Times New Roman"/>
        </w:rPr>
        <w:t>más</w:t>
      </w:r>
      <w:r w:rsidR="0075620D" w:rsidRPr="00D319A6">
        <w:rPr>
          <w:rFonts w:cs="Times New Roman"/>
        </w:rPr>
        <w:t xml:space="preserve"> importantes en servicios de </w:t>
      </w:r>
      <w:r w:rsidR="009D0485" w:rsidRPr="00D319A6">
        <w:rPr>
          <w:rFonts w:cs="Times New Roman"/>
        </w:rPr>
        <w:t xml:space="preserve">hospital con un incremento interanual de Q135.3 </w:t>
      </w:r>
      <w:r w:rsidR="000D2DF6" w:rsidRPr="00D319A6">
        <w:rPr>
          <w:rFonts w:cs="Times New Roman"/>
        </w:rPr>
        <w:t xml:space="preserve">(43.4%) </w:t>
      </w:r>
      <w:r w:rsidR="009D0485" w:rsidRPr="00D319A6">
        <w:rPr>
          <w:rFonts w:cs="Times New Roman"/>
        </w:rPr>
        <w:t xml:space="preserve">millones y </w:t>
      </w:r>
      <w:r w:rsidR="000D2DF6" w:rsidRPr="00D319A6">
        <w:rPr>
          <w:rFonts w:cs="Times New Roman"/>
        </w:rPr>
        <w:t>en</w:t>
      </w:r>
      <w:r w:rsidR="009D0485" w:rsidRPr="00D319A6">
        <w:rPr>
          <w:rFonts w:cs="Times New Roman"/>
        </w:rPr>
        <w:t xml:space="preserve"> salud pública </w:t>
      </w:r>
      <w:r w:rsidR="00AB3D2E" w:rsidRPr="00D319A6">
        <w:rPr>
          <w:rFonts w:cs="Times New Roman"/>
        </w:rPr>
        <w:t>por Q159.8 millones</w:t>
      </w:r>
      <w:r w:rsidR="000D2DF6" w:rsidRPr="00D319A6">
        <w:rPr>
          <w:rFonts w:cs="Times New Roman"/>
        </w:rPr>
        <w:t xml:space="preserve"> (20%)</w:t>
      </w:r>
      <w:r w:rsidR="00AB3D2E" w:rsidRPr="00D319A6">
        <w:rPr>
          <w:rFonts w:cs="Times New Roman"/>
        </w:rPr>
        <w:t>.</w:t>
      </w:r>
    </w:p>
    <w:p w14:paraId="2F4422AD" w14:textId="138013B5" w:rsidR="00656A22" w:rsidRDefault="00656A22" w:rsidP="00CD34D6">
      <w:pPr>
        <w:rPr>
          <w:rFonts w:cs="Times New Roman"/>
        </w:rPr>
      </w:pPr>
    </w:p>
    <w:p w14:paraId="577399D7" w14:textId="613531E7" w:rsidR="00537655" w:rsidRPr="00B1487F" w:rsidRDefault="005414DF" w:rsidP="00CD34D6">
      <w:pPr>
        <w:rPr>
          <w:rFonts w:cs="Times New Roman"/>
        </w:rPr>
      </w:pPr>
      <w:r w:rsidRPr="00B1487F">
        <w:rPr>
          <w:rFonts w:cs="Times New Roman"/>
        </w:rPr>
        <w:t xml:space="preserve">El rubro que tuvo </w:t>
      </w:r>
      <w:r w:rsidR="006155C4">
        <w:rPr>
          <w:rFonts w:cs="Times New Roman"/>
        </w:rPr>
        <w:t>la</w:t>
      </w:r>
      <w:r w:rsidR="006155C4" w:rsidRPr="00B1487F">
        <w:rPr>
          <w:rFonts w:cs="Times New Roman"/>
        </w:rPr>
        <w:t xml:space="preserve"> </w:t>
      </w:r>
      <w:r w:rsidR="006550B5" w:rsidRPr="00B1487F">
        <w:rPr>
          <w:rFonts w:cs="Times New Roman"/>
        </w:rPr>
        <w:t>mayor diminución fueron los asuntos económicos</w:t>
      </w:r>
      <w:r w:rsidR="0089177C" w:rsidRPr="00B1487F">
        <w:rPr>
          <w:rFonts w:cs="Times New Roman"/>
        </w:rPr>
        <w:t xml:space="preserve"> </w:t>
      </w:r>
      <w:r w:rsidR="006155C4">
        <w:rPr>
          <w:rFonts w:cs="Times New Roman"/>
        </w:rPr>
        <w:t xml:space="preserve">con una reducción de Q245.4 millones </w:t>
      </w:r>
      <w:r w:rsidR="0089177C" w:rsidRPr="00B1487F">
        <w:rPr>
          <w:rFonts w:cs="Times New Roman"/>
        </w:rPr>
        <w:t>(</w:t>
      </w:r>
      <w:r w:rsidR="006209A8" w:rsidRPr="00B1487F">
        <w:rPr>
          <w:rFonts w:cs="Times New Roman"/>
        </w:rPr>
        <w:t xml:space="preserve">una disminución interanual del </w:t>
      </w:r>
      <w:r w:rsidR="00295600" w:rsidRPr="00B1487F">
        <w:rPr>
          <w:rFonts w:cs="Times New Roman"/>
        </w:rPr>
        <w:t xml:space="preserve">23.3%) </w:t>
      </w:r>
      <w:r w:rsidR="00BD232B" w:rsidRPr="00B1487F">
        <w:rPr>
          <w:rFonts w:cs="Times New Roman"/>
        </w:rPr>
        <w:t>siendo</w:t>
      </w:r>
      <w:r w:rsidR="0092407F">
        <w:rPr>
          <w:rFonts w:cs="Times New Roman"/>
        </w:rPr>
        <w:t xml:space="preserve"> dentro de estos,</w:t>
      </w:r>
      <w:r w:rsidR="00A711BC" w:rsidRPr="00B1487F">
        <w:rPr>
          <w:rFonts w:cs="Times New Roman"/>
        </w:rPr>
        <w:t xml:space="preserve"> </w:t>
      </w:r>
      <w:r w:rsidR="00437FE6" w:rsidRPr="00B1487F">
        <w:rPr>
          <w:rFonts w:cs="Times New Roman"/>
        </w:rPr>
        <w:t xml:space="preserve">el transporte </w:t>
      </w:r>
      <w:r w:rsidR="00A711BC" w:rsidRPr="00B1487F">
        <w:rPr>
          <w:rFonts w:cs="Times New Roman"/>
        </w:rPr>
        <w:t xml:space="preserve">el que más disminuye </w:t>
      </w:r>
      <w:r w:rsidR="00693548" w:rsidRPr="00B1487F">
        <w:rPr>
          <w:rFonts w:cs="Times New Roman"/>
        </w:rPr>
        <w:t xml:space="preserve">(Q.255.9 millones menos que en </w:t>
      </w:r>
      <w:r w:rsidR="00F17BDF" w:rsidRPr="00B1487F">
        <w:rPr>
          <w:rFonts w:cs="Times New Roman"/>
        </w:rPr>
        <w:t>2019).</w:t>
      </w:r>
      <w:r w:rsidR="00437FE6" w:rsidRPr="00B1487F">
        <w:rPr>
          <w:rFonts w:cs="Times New Roman"/>
        </w:rPr>
        <w:t xml:space="preserve"> </w:t>
      </w:r>
    </w:p>
    <w:p w14:paraId="7ED49B3A" w14:textId="77777777" w:rsidR="00A86397" w:rsidRPr="009E02F5" w:rsidRDefault="00A86397" w:rsidP="00CD34D6">
      <w:pPr>
        <w:rPr>
          <w:rFonts w:cs="Times New Roman"/>
          <w:highlight w:val="yellow"/>
        </w:rPr>
      </w:pPr>
    </w:p>
    <w:p w14:paraId="499034FD" w14:textId="080E91DB" w:rsidR="00E9536D" w:rsidRDefault="00790DCB" w:rsidP="001D1C9B">
      <w:pPr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31FE2F57" wp14:editId="1B915754">
            <wp:extent cx="4572000" cy="2755612"/>
            <wp:effectExtent l="0" t="0" r="0" b="698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6542B6B-A978-4F7D-AA7B-523790ABA6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DD1EB7B" w14:textId="77777777" w:rsidR="0032255F" w:rsidRPr="00BF230D" w:rsidRDefault="0032255F" w:rsidP="0032255F">
      <w:pPr>
        <w:ind w:left="1276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19437CE4" w14:textId="5A24C681" w:rsidR="0032255F" w:rsidRDefault="0032255F" w:rsidP="0032255F">
      <w:pPr>
        <w:ind w:left="1276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4FE02CA9" w14:textId="77777777" w:rsidR="00513B56" w:rsidRDefault="00513B56" w:rsidP="0032255F">
      <w:pPr>
        <w:ind w:left="1276"/>
        <w:rPr>
          <w:rFonts w:cs="Times New Roman"/>
          <w:sz w:val="16"/>
          <w:szCs w:val="22"/>
          <w:lang w:val="es-MX"/>
        </w:rPr>
      </w:pPr>
    </w:p>
    <w:p w14:paraId="68D0D8E3" w14:textId="2F1F1980" w:rsidR="00513B56" w:rsidRPr="00922AE3" w:rsidRDefault="00513B56" w:rsidP="00C17472">
      <w:pPr>
        <w:pStyle w:val="Ttulo2"/>
        <w:numPr>
          <w:ilvl w:val="1"/>
          <w:numId w:val="43"/>
        </w:numPr>
        <w:spacing w:before="0"/>
        <w:ind w:left="567" w:hanging="283"/>
        <w:rPr>
          <w:rFonts w:ascii="Times New Roman" w:hAnsi="Times New Roman" w:cs="Times New Roman"/>
          <w:color w:val="auto"/>
          <w:sz w:val="24"/>
        </w:rPr>
      </w:pPr>
      <w:bookmarkStart w:id="290" w:name="_Toc42069121"/>
      <w:r>
        <w:rPr>
          <w:rFonts w:ascii="Times New Roman" w:hAnsi="Times New Roman" w:cs="Times New Roman"/>
          <w:color w:val="auto"/>
          <w:sz w:val="24"/>
        </w:rPr>
        <w:t>Grado de Ejecución</w:t>
      </w:r>
      <w:r w:rsidR="0040274D">
        <w:rPr>
          <w:rFonts w:ascii="Times New Roman" w:hAnsi="Times New Roman" w:cs="Times New Roman"/>
          <w:color w:val="auto"/>
          <w:sz w:val="24"/>
        </w:rPr>
        <w:t xml:space="preserve"> Presupuestaria</w:t>
      </w:r>
      <w:bookmarkEnd w:id="290"/>
    </w:p>
    <w:p w14:paraId="4C261501" w14:textId="1BC8DFDD" w:rsidR="00E73B1F" w:rsidRDefault="00EF0908" w:rsidP="00F453D5">
      <w:pPr>
        <w:rPr>
          <w:color w:val="FF0000"/>
        </w:rPr>
      </w:pPr>
      <w:r w:rsidRPr="00D319A6">
        <w:rPr>
          <w:lang w:val="es-MX"/>
        </w:rPr>
        <w:t xml:space="preserve">En materia de ejecución </w:t>
      </w:r>
      <w:r w:rsidR="00C36A4A" w:rsidRPr="00D319A6">
        <w:rPr>
          <w:lang w:val="es-MX"/>
        </w:rPr>
        <w:t>presupuestaria</w:t>
      </w:r>
      <w:r w:rsidR="00EC0EC0" w:rsidRPr="00D319A6">
        <w:rPr>
          <w:lang w:val="es-MX"/>
        </w:rPr>
        <w:t xml:space="preserve">, el </w:t>
      </w:r>
      <w:r w:rsidRPr="00D319A6">
        <w:rPr>
          <w:lang w:val="es-MX"/>
        </w:rPr>
        <w:t xml:space="preserve">grado de ejecución </w:t>
      </w:r>
      <w:r w:rsidR="00EC0EC0" w:rsidRPr="00D319A6">
        <w:rPr>
          <w:lang w:val="es-MX"/>
        </w:rPr>
        <w:t>es del</w:t>
      </w:r>
      <w:r w:rsidRPr="00D319A6">
        <w:rPr>
          <w:lang w:val="es-MX"/>
        </w:rPr>
        <w:t xml:space="preserve"> 20.2%</w:t>
      </w:r>
      <w:r w:rsidR="002968F0" w:rsidRPr="00D319A6">
        <w:rPr>
          <w:lang w:val="es-MX"/>
        </w:rPr>
        <w:t xml:space="preserve"> cuyo</w:t>
      </w:r>
      <w:r w:rsidRPr="00D319A6">
        <w:rPr>
          <w:lang w:val="es-MX"/>
        </w:rPr>
        <w:t xml:space="preserve"> nivel se encuentra por arriba de la ejecución promedio de los últimos 5 años (19.8%) y es superior a la reportada entre 2016-2019. </w:t>
      </w:r>
      <w:r w:rsidR="002968F0" w:rsidRPr="00D319A6">
        <w:rPr>
          <w:lang w:val="es-MX"/>
        </w:rPr>
        <w:t xml:space="preserve">Las </w:t>
      </w:r>
      <w:r w:rsidRPr="00D319A6">
        <w:t>entidades</w:t>
      </w:r>
      <w:r w:rsidR="002968F0" w:rsidRPr="00D319A6">
        <w:t xml:space="preserve"> que</w:t>
      </w:r>
      <w:r w:rsidRPr="00D319A6">
        <w:t xml:space="preserve"> muestran el mayor nivel de ejecución </w:t>
      </w:r>
      <w:r w:rsidR="002968F0" w:rsidRPr="00D319A6">
        <w:t xml:space="preserve">son </w:t>
      </w:r>
      <w:r w:rsidRPr="00D319A6">
        <w:t>la PGN (26.6%), Educación (25.5%), Presidencia (23.1%), Gobernación (21.5%) y las Obligaciones a Cargo del Tesoro (21.4%), siendo la ejecución de estas entidades superior a la ejecución institucional total (20.2%).</w:t>
      </w:r>
      <w:r w:rsidR="00F453D5" w:rsidRPr="00D319A6">
        <w:t xml:space="preserve"> </w:t>
      </w:r>
      <w:r w:rsidR="00E73B1F" w:rsidRPr="00D319A6">
        <w:t>Entre las entidades que reportan retrocesos en su ejecución se encuentran ocho entidades, resalta el Ministerio de Economía (-41.2%), Comunicaciones, Infraestructura y Vivienda (-32.7%) y el Ministerio de Trabajo (-23.3%).</w:t>
      </w:r>
      <w:r w:rsidR="00E73B1F" w:rsidRPr="008F3134">
        <w:rPr>
          <w:color w:val="FF0000"/>
        </w:rPr>
        <w:t xml:space="preserve"> </w:t>
      </w:r>
    </w:p>
    <w:p w14:paraId="0440DA03" w14:textId="77777777" w:rsidR="00F453D5" w:rsidRPr="008F3134" w:rsidRDefault="00F453D5" w:rsidP="00C17472">
      <w:pPr>
        <w:rPr>
          <w:color w:val="FF0000"/>
        </w:rPr>
      </w:pPr>
    </w:p>
    <w:p w14:paraId="637E563C" w14:textId="169D8D43" w:rsidR="00D10D4F" w:rsidRPr="00B47E34" w:rsidRDefault="00DD6B26" w:rsidP="00D10D4F">
      <w:pPr>
        <w:jc w:val="center"/>
        <w:rPr>
          <w:rFonts w:cs="Times New Roman"/>
          <w:b/>
          <w:color w:val="000000" w:themeColor="text1"/>
          <w:lang w:val="es-MX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lang w:val="es-MX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lang w:val="es-MX"/>
                </w:rPr>
                <m:t xml:space="preserve">Grado de Ejecución por Entidad 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lang w:val="es-MX"/>
                </w:rPr>
                <m:t>1/</m:t>
              </m:r>
            </m:sup>
          </m:sSup>
        </m:oMath>
      </m:oMathPara>
    </w:p>
    <w:p w14:paraId="00BF23CD" w14:textId="272FC961" w:rsidR="00D10D4F" w:rsidRPr="00C17472" w:rsidRDefault="00E64280" w:rsidP="00D10D4F">
      <w:pPr>
        <w:jc w:val="center"/>
        <w:rPr>
          <w:rFonts w:cs="Times New Roman"/>
          <w:b/>
          <w:bCs/>
          <w:color w:val="000000" w:themeColor="text1"/>
          <w:szCs w:val="22"/>
          <w:lang w:val="es-MX"/>
        </w:rPr>
      </w:pPr>
      <w:r w:rsidRPr="00C17472">
        <w:rPr>
          <w:rFonts w:cs="Times New Roman"/>
          <w:b/>
          <w:bCs/>
          <w:color w:val="000000" w:themeColor="text1"/>
          <w:szCs w:val="22"/>
          <w:lang w:val="es-MX"/>
        </w:rPr>
        <w:t>Cifras a</w:t>
      </w:r>
      <w:r w:rsidR="00D10D4F" w:rsidRPr="00C17472">
        <w:rPr>
          <w:rFonts w:cs="Times New Roman"/>
          <w:b/>
          <w:bCs/>
          <w:color w:val="000000" w:themeColor="text1"/>
          <w:szCs w:val="22"/>
          <w:lang w:val="es-MX"/>
        </w:rPr>
        <w:t xml:space="preserve"> marzo de 2020</w:t>
      </w:r>
      <w:r w:rsidR="002B2B84">
        <w:rPr>
          <w:rFonts w:cs="Times New Roman"/>
          <w:b/>
          <w:bCs/>
          <w:color w:val="000000" w:themeColor="text1"/>
          <w:szCs w:val="22"/>
          <w:lang w:val="es-MX"/>
        </w:rPr>
        <w:t>*</w:t>
      </w:r>
    </w:p>
    <w:p w14:paraId="54E3B64D" w14:textId="35015D3E" w:rsidR="001D1C9B" w:rsidRPr="00C17472" w:rsidRDefault="00B17327" w:rsidP="00C17472">
      <w:pPr>
        <w:spacing w:after="240"/>
        <w:jc w:val="center"/>
        <w:rPr>
          <w:rFonts w:cs="Times New Roman"/>
          <w:color w:val="000000" w:themeColor="text1"/>
          <w:sz w:val="18"/>
          <w:szCs w:val="18"/>
          <w:lang w:val="es-MX"/>
        </w:rPr>
      </w:pPr>
      <w:r>
        <w:rPr>
          <w:rFonts w:cs="Times New Roman"/>
          <w:color w:val="000000" w:themeColor="text1"/>
          <w:sz w:val="18"/>
          <w:szCs w:val="18"/>
          <w:lang w:val="es-MX"/>
        </w:rPr>
        <w:t>En porcentajes</w:t>
      </w:r>
    </w:p>
    <w:p w14:paraId="0FF4BBE1" w14:textId="77777777" w:rsidR="0038019E" w:rsidRDefault="006F0BE7" w:rsidP="00C17472">
      <w:pPr>
        <w:ind w:left="1276"/>
        <w:jc w:val="center"/>
        <w:rPr>
          <w:rFonts w:cs="Times New Roman"/>
          <w:sz w:val="16"/>
          <w:szCs w:val="22"/>
          <w:lang w:val="es-MX"/>
        </w:rPr>
      </w:pPr>
      <w:r w:rsidRPr="00B47E34">
        <w:rPr>
          <w:rFonts w:cs="Times New Roman"/>
          <w:noProof/>
          <w:color w:val="000000" w:themeColor="text1"/>
          <w:sz w:val="18"/>
          <w:szCs w:val="18"/>
          <w:lang w:eastAsia="es-GT"/>
        </w:rPr>
        <w:drawing>
          <wp:inline distT="0" distB="0" distL="0" distR="0" wp14:anchorId="1D1E15DE" wp14:editId="1F9E873F">
            <wp:extent cx="2637790" cy="250380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" r="2018" b="3804"/>
                    <a:stretch/>
                  </pic:blipFill>
                  <pic:spPr bwMode="auto">
                    <a:xfrm>
                      <a:off x="0" y="0"/>
                      <a:ext cx="263779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62302" w14:textId="77777777" w:rsidR="00A6370E" w:rsidRDefault="00A6370E" w:rsidP="00A6370E">
      <w:pPr>
        <w:ind w:left="3261"/>
        <w:rPr>
          <w:rFonts w:cs="Times New Roman"/>
          <w:sz w:val="16"/>
          <w:szCs w:val="22"/>
          <w:lang w:val="es-MX"/>
        </w:rPr>
      </w:pPr>
      <w:r>
        <w:rPr>
          <w:rFonts w:cs="Times New Roman"/>
          <w:sz w:val="16"/>
          <w:szCs w:val="22"/>
          <w:lang w:val="es-MX"/>
        </w:rPr>
        <w:t>1/ Según Metodología Nacional</w:t>
      </w:r>
    </w:p>
    <w:p w14:paraId="2A94C82C" w14:textId="016EBA7B" w:rsidR="0038019E" w:rsidRPr="00BF230D" w:rsidRDefault="0038019E" w:rsidP="00C17472">
      <w:pPr>
        <w:ind w:left="3261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7358445D" w14:textId="317C575F" w:rsidR="006F0BE7" w:rsidRPr="00C17472" w:rsidRDefault="0038019E" w:rsidP="00C17472">
      <w:pPr>
        <w:ind w:left="3261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08309D2C" w14:textId="77777777" w:rsidR="00D10D4F" w:rsidRPr="00BF230D" w:rsidRDefault="00D10D4F" w:rsidP="001D1C9B">
      <w:pPr>
        <w:jc w:val="center"/>
        <w:rPr>
          <w:rFonts w:cs="Times New Roman"/>
        </w:rPr>
      </w:pPr>
    </w:p>
    <w:p w14:paraId="2A08C5D7" w14:textId="786C128C" w:rsidR="00380981" w:rsidRPr="00BF230D" w:rsidRDefault="00C84436" w:rsidP="00C17472">
      <w:pPr>
        <w:pStyle w:val="Prrafodelista"/>
        <w:numPr>
          <w:ilvl w:val="0"/>
          <w:numId w:val="1"/>
        </w:numPr>
        <w:ind w:left="426" w:hanging="426"/>
        <w:outlineLvl w:val="0"/>
        <w:rPr>
          <w:rFonts w:cs="Times New Roman"/>
          <w:b/>
          <w:sz w:val="24"/>
          <w:lang w:val="es-MX"/>
        </w:rPr>
      </w:pPr>
      <w:bookmarkStart w:id="291" w:name="_Toc42069122"/>
      <w:r w:rsidRPr="00414C97">
        <w:rPr>
          <w:rFonts w:cs="Times New Roman"/>
          <w:b/>
          <w:sz w:val="24"/>
          <w:lang w:val="es-MX"/>
        </w:rPr>
        <w:t>Resultado Fiscal</w:t>
      </w:r>
      <w:bookmarkEnd w:id="291"/>
      <w:r w:rsidRPr="00414C97">
        <w:rPr>
          <w:rFonts w:cs="Times New Roman"/>
          <w:b/>
          <w:sz w:val="24"/>
          <w:lang w:val="es-MX"/>
        </w:rPr>
        <w:t xml:space="preserve"> </w:t>
      </w:r>
    </w:p>
    <w:p w14:paraId="5979CB22" w14:textId="38697B78" w:rsidR="00C84436" w:rsidRPr="00C17472" w:rsidRDefault="005F5E9E" w:rsidP="00D319A6">
      <w:pPr>
        <w:rPr>
          <w:rFonts w:eastAsiaTheme="majorEastAsia" w:cs="Times New Roman"/>
          <w:b/>
          <w:bCs/>
          <w:sz w:val="24"/>
          <w:szCs w:val="26"/>
        </w:rPr>
      </w:pPr>
      <w:bookmarkStart w:id="292" w:name="_Toc42023982"/>
      <w:bookmarkStart w:id="293" w:name="_Toc42024033"/>
      <w:bookmarkEnd w:id="292"/>
      <w:bookmarkEnd w:id="293"/>
      <w:r>
        <w:rPr>
          <w:rFonts w:eastAsiaTheme="majorEastAsia"/>
          <w:noProof/>
          <w:lang w:val="es-ES_tradnl"/>
        </w:rPr>
        <w:drawing>
          <wp:inline distT="0" distB="0" distL="0" distR="0" wp14:anchorId="53C2D341" wp14:editId="3056EC0E">
            <wp:extent cx="5836920" cy="1854200"/>
            <wp:effectExtent l="76200" t="57150" r="87630" b="107950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  <w:bookmarkStart w:id="294" w:name="_Toc31624513"/>
      <w:bookmarkStart w:id="295" w:name="_Toc31625365"/>
      <w:bookmarkStart w:id="296" w:name="_Toc31626820"/>
      <w:bookmarkStart w:id="297" w:name="_Toc31811271"/>
      <w:bookmarkStart w:id="298" w:name="_Toc31811725"/>
      <w:bookmarkStart w:id="299" w:name="_Toc31971888"/>
      <w:bookmarkStart w:id="300" w:name="_Toc32230910"/>
      <w:bookmarkStart w:id="301" w:name="_Toc33109798"/>
      <w:bookmarkStart w:id="302" w:name="_Toc33109840"/>
      <w:bookmarkStart w:id="303" w:name="_Toc33180561"/>
      <w:bookmarkStart w:id="304" w:name="_Toc33180655"/>
      <w:bookmarkStart w:id="305" w:name="_Toc33193552"/>
      <w:bookmarkStart w:id="306" w:name="_Toc33193591"/>
      <w:bookmarkStart w:id="307" w:name="_Toc33196788"/>
      <w:bookmarkStart w:id="308" w:name="_Toc40691764"/>
      <w:bookmarkStart w:id="309" w:name="_Toc40959164"/>
      <w:bookmarkStart w:id="310" w:name="_Toc40975998"/>
      <w:bookmarkStart w:id="311" w:name="_Toc40976067"/>
      <w:bookmarkStart w:id="312" w:name="_Toc40993323"/>
      <w:bookmarkStart w:id="313" w:name="_Toc40993705"/>
      <w:bookmarkStart w:id="314" w:name="_Toc41037581"/>
      <w:bookmarkStart w:id="315" w:name="_Toc41254141"/>
      <w:bookmarkStart w:id="316" w:name="_Toc41254173"/>
      <w:bookmarkStart w:id="317" w:name="_Toc41254193"/>
      <w:bookmarkStart w:id="318" w:name="_Toc42023983"/>
      <w:bookmarkStart w:id="319" w:name="_Toc42024034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601FB390" w14:textId="77777777" w:rsidR="00182B79" w:rsidRPr="00182B79" w:rsidRDefault="00182B79" w:rsidP="00182B79">
      <w:pPr>
        <w:pStyle w:val="Prrafodelista"/>
        <w:keepNext/>
        <w:keepLines/>
        <w:numPr>
          <w:ilvl w:val="0"/>
          <w:numId w:val="43"/>
        </w:numPr>
        <w:spacing w:after="12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320" w:name="_Toc42069123"/>
      <w:bookmarkEnd w:id="320"/>
    </w:p>
    <w:p w14:paraId="3072C340" w14:textId="38CFB603" w:rsidR="00364844" w:rsidRPr="00BF230D" w:rsidRDefault="00BD6585" w:rsidP="00C17472">
      <w:pPr>
        <w:pStyle w:val="Ttulo2"/>
        <w:numPr>
          <w:ilvl w:val="1"/>
          <w:numId w:val="43"/>
        </w:numPr>
        <w:spacing w:before="0"/>
        <w:ind w:left="644"/>
        <w:rPr>
          <w:rFonts w:ascii="Times New Roman" w:hAnsi="Times New Roman" w:cs="Times New Roman"/>
          <w:color w:val="auto"/>
          <w:sz w:val="24"/>
        </w:rPr>
      </w:pPr>
      <w:bookmarkStart w:id="321" w:name="_Toc42069124"/>
      <w:r>
        <w:rPr>
          <w:rFonts w:ascii="Times New Roman" w:hAnsi="Times New Roman" w:cs="Times New Roman"/>
          <w:color w:val="auto"/>
          <w:sz w:val="24"/>
        </w:rPr>
        <w:t>R</w:t>
      </w:r>
      <w:r w:rsidR="00540B30" w:rsidRPr="00BF230D">
        <w:rPr>
          <w:rFonts w:ascii="Times New Roman" w:hAnsi="Times New Roman" w:cs="Times New Roman"/>
          <w:color w:val="auto"/>
          <w:sz w:val="24"/>
        </w:rPr>
        <w:t>esultado operativo</w:t>
      </w:r>
      <w:r w:rsidR="00EE52DF" w:rsidRPr="00BF230D">
        <w:rPr>
          <w:rFonts w:ascii="Times New Roman" w:hAnsi="Times New Roman" w:cs="Times New Roman"/>
          <w:color w:val="auto"/>
          <w:sz w:val="24"/>
        </w:rPr>
        <w:t xml:space="preserve"> </w:t>
      </w:r>
      <w:bookmarkEnd w:id="241"/>
      <w:r w:rsidR="00414C97">
        <w:rPr>
          <w:rFonts w:ascii="Times New Roman" w:hAnsi="Times New Roman" w:cs="Times New Roman"/>
          <w:color w:val="auto"/>
          <w:sz w:val="24"/>
        </w:rPr>
        <w:t>bruto</w:t>
      </w:r>
      <w:bookmarkEnd w:id="321"/>
    </w:p>
    <w:p w14:paraId="3DB9374E" w14:textId="77777777" w:rsidR="00BC01B9" w:rsidRPr="00BF230D" w:rsidRDefault="00BC01B9" w:rsidP="00CD34D6">
      <w:pPr>
        <w:rPr>
          <w:rFonts w:cs="Times New Roman"/>
          <w:color w:val="FF0000"/>
        </w:rPr>
      </w:pPr>
    </w:p>
    <w:p w14:paraId="4FB717FF" w14:textId="05ABE049" w:rsidR="004B5293" w:rsidRPr="00BF230D" w:rsidRDefault="00EE52DF" w:rsidP="0045490A">
      <w:pPr>
        <w:pStyle w:val="Sinespaciado"/>
        <w:jc w:val="both"/>
        <w:rPr>
          <w:rFonts w:ascii="Times New Roman" w:hAnsi="Times New Roman" w:cs="Times New Roman"/>
        </w:rPr>
      </w:pPr>
      <w:r w:rsidRPr="00BF230D">
        <w:rPr>
          <w:rFonts w:ascii="Times New Roman" w:hAnsi="Times New Roman" w:cs="Times New Roman"/>
        </w:rPr>
        <w:t>Derivado</w:t>
      </w:r>
      <w:r w:rsidR="008F57EE">
        <w:rPr>
          <w:rFonts w:ascii="Times New Roman" w:hAnsi="Times New Roman" w:cs="Times New Roman"/>
        </w:rPr>
        <w:t xml:space="preserve"> del mayor dinamismo experimentado </w:t>
      </w:r>
      <w:r w:rsidRPr="00BF230D">
        <w:rPr>
          <w:rFonts w:ascii="Times New Roman" w:hAnsi="Times New Roman" w:cs="Times New Roman"/>
        </w:rPr>
        <w:t>en el gasto público</w:t>
      </w:r>
      <w:r w:rsidR="00DC79AE" w:rsidRPr="00BF230D">
        <w:rPr>
          <w:rFonts w:ascii="Times New Roman" w:hAnsi="Times New Roman" w:cs="Times New Roman"/>
        </w:rPr>
        <w:t xml:space="preserve"> </w:t>
      </w:r>
      <w:r w:rsidR="00EF1700" w:rsidRPr="00BF230D">
        <w:rPr>
          <w:rFonts w:ascii="Times New Roman" w:hAnsi="Times New Roman" w:cs="Times New Roman"/>
        </w:rPr>
        <w:t>y</w:t>
      </w:r>
      <w:r w:rsidRPr="00BF230D">
        <w:rPr>
          <w:rFonts w:ascii="Times New Roman" w:hAnsi="Times New Roman" w:cs="Times New Roman"/>
        </w:rPr>
        <w:t xml:space="preserve"> aunado </w:t>
      </w:r>
      <w:r w:rsidR="008F57EE">
        <w:rPr>
          <w:rFonts w:ascii="Times New Roman" w:hAnsi="Times New Roman" w:cs="Times New Roman"/>
        </w:rPr>
        <w:t xml:space="preserve">con una </w:t>
      </w:r>
      <w:r w:rsidR="00DE03D9">
        <w:rPr>
          <w:rFonts w:ascii="Times New Roman" w:hAnsi="Times New Roman" w:cs="Times New Roman"/>
        </w:rPr>
        <w:t>disminución de los ingresos totales al mes de marzo de 2020,</w:t>
      </w:r>
      <w:r w:rsidRPr="00BF230D">
        <w:rPr>
          <w:rFonts w:ascii="Times New Roman" w:hAnsi="Times New Roman" w:cs="Times New Roman"/>
        </w:rPr>
        <w:t xml:space="preserve"> dio como resultado un deterioro </w:t>
      </w:r>
      <w:r w:rsidR="004B3B07" w:rsidRPr="00BF230D">
        <w:rPr>
          <w:rFonts w:ascii="Times New Roman" w:hAnsi="Times New Roman" w:cs="Times New Roman"/>
        </w:rPr>
        <w:t>en el</w:t>
      </w:r>
      <w:r w:rsidR="00F80D47">
        <w:rPr>
          <w:rFonts w:ascii="Times New Roman" w:hAnsi="Times New Roman" w:cs="Times New Roman"/>
        </w:rPr>
        <w:t xml:space="preserve"> resultado operativo</w:t>
      </w:r>
      <w:r w:rsidR="00EC08ED">
        <w:rPr>
          <w:rFonts w:ascii="Times New Roman" w:hAnsi="Times New Roman" w:cs="Times New Roman"/>
        </w:rPr>
        <w:t>, teniendo</w:t>
      </w:r>
      <w:r w:rsidR="005F7510">
        <w:rPr>
          <w:rFonts w:ascii="Times New Roman" w:hAnsi="Times New Roman" w:cs="Times New Roman"/>
        </w:rPr>
        <w:t xml:space="preserve"> un valor negativo de Q.</w:t>
      </w:r>
      <w:r w:rsidR="00E12BEC" w:rsidRPr="00E12BEC">
        <w:t xml:space="preserve"> </w:t>
      </w:r>
      <w:r w:rsidR="00E12BEC" w:rsidRPr="00E12BEC">
        <w:rPr>
          <w:rFonts w:ascii="Times New Roman" w:hAnsi="Times New Roman" w:cs="Times New Roman"/>
        </w:rPr>
        <w:t xml:space="preserve">-1,175.3 </w:t>
      </w:r>
      <w:r w:rsidRPr="00BF230D">
        <w:rPr>
          <w:rFonts w:ascii="Times New Roman" w:hAnsi="Times New Roman" w:cs="Times New Roman"/>
        </w:rPr>
        <w:t>millones</w:t>
      </w:r>
      <w:r w:rsidR="001708EB" w:rsidRPr="00BF230D">
        <w:rPr>
          <w:rFonts w:ascii="Times New Roman" w:hAnsi="Times New Roman" w:cs="Times New Roman"/>
        </w:rPr>
        <w:t xml:space="preserve"> </w:t>
      </w:r>
      <w:r w:rsidR="00EC08ED">
        <w:rPr>
          <w:rFonts w:ascii="Times New Roman" w:hAnsi="Times New Roman" w:cs="Times New Roman"/>
        </w:rPr>
        <w:t>lo que equivale a un</w:t>
      </w:r>
      <w:r w:rsidR="00B7315B">
        <w:rPr>
          <w:rFonts w:ascii="Times New Roman" w:hAnsi="Times New Roman" w:cs="Times New Roman"/>
        </w:rPr>
        <w:t>a variación interanual negativa de</w:t>
      </w:r>
      <w:r w:rsidR="00EC08ED">
        <w:rPr>
          <w:rFonts w:ascii="Times New Roman" w:hAnsi="Times New Roman" w:cs="Times New Roman"/>
        </w:rPr>
        <w:t xml:space="preserve"> </w:t>
      </w:r>
      <w:r w:rsidR="00E12BEC" w:rsidRPr="00E12BEC">
        <w:rPr>
          <w:rFonts w:ascii="Times New Roman" w:hAnsi="Times New Roman" w:cs="Times New Roman"/>
        </w:rPr>
        <w:t>1,339.6</w:t>
      </w:r>
      <w:r w:rsidR="00BF62B1" w:rsidRPr="00BF230D">
        <w:rPr>
          <w:rFonts w:ascii="Times New Roman" w:hAnsi="Times New Roman" w:cs="Times New Roman"/>
        </w:rPr>
        <w:t xml:space="preserve">% </w:t>
      </w:r>
      <w:r w:rsidR="00B7315B">
        <w:rPr>
          <w:rFonts w:ascii="Times New Roman" w:hAnsi="Times New Roman" w:cs="Times New Roman"/>
        </w:rPr>
        <w:t>(</w:t>
      </w:r>
      <w:r w:rsidR="00A842DF">
        <w:rPr>
          <w:rFonts w:ascii="Times New Roman" w:hAnsi="Times New Roman" w:cs="Times New Roman"/>
        </w:rPr>
        <w:t xml:space="preserve">una diferencia de </w:t>
      </w:r>
      <w:r w:rsidR="00BB6C4F">
        <w:rPr>
          <w:rFonts w:ascii="Times New Roman" w:hAnsi="Times New Roman" w:cs="Times New Roman"/>
        </w:rPr>
        <w:t>Q.</w:t>
      </w:r>
      <w:r w:rsidR="00AA1FB8" w:rsidRPr="00AA1FB8">
        <w:t xml:space="preserve"> </w:t>
      </w:r>
      <w:r w:rsidR="00AA1FB8" w:rsidRPr="00AA1FB8">
        <w:rPr>
          <w:rFonts w:ascii="Times New Roman" w:hAnsi="Times New Roman" w:cs="Times New Roman"/>
        </w:rPr>
        <w:t xml:space="preserve">1,270.1 </w:t>
      </w:r>
      <w:r w:rsidR="00BB6C4F">
        <w:rPr>
          <w:rFonts w:ascii="Times New Roman" w:hAnsi="Times New Roman" w:cs="Times New Roman"/>
        </w:rPr>
        <w:t xml:space="preserve">millones) </w:t>
      </w:r>
      <w:r w:rsidR="00AA1FB8">
        <w:rPr>
          <w:rFonts w:ascii="Times New Roman" w:hAnsi="Times New Roman" w:cs="Times New Roman"/>
        </w:rPr>
        <w:t>con relación</w:t>
      </w:r>
      <w:r w:rsidR="001E62DA">
        <w:rPr>
          <w:rFonts w:ascii="Times New Roman" w:hAnsi="Times New Roman" w:cs="Times New Roman"/>
        </w:rPr>
        <w:t xml:space="preserve"> a lo observado en el mismo periodo en 2019</w:t>
      </w:r>
      <w:r w:rsidR="0052047D" w:rsidRPr="00BF230D">
        <w:rPr>
          <w:rFonts w:ascii="Times New Roman" w:hAnsi="Times New Roman" w:cs="Times New Roman"/>
        </w:rPr>
        <w:t>.</w:t>
      </w:r>
    </w:p>
    <w:p w14:paraId="5A96EBFC" w14:textId="35939DC9" w:rsidR="004B5293" w:rsidRPr="00BF230D" w:rsidRDefault="004B5293" w:rsidP="00EE52DF">
      <w:pPr>
        <w:pStyle w:val="Sinespaciado"/>
        <w:jc w:val="both"/>
        <w:rPr>
          <w:rFonts w:ascii="Times New Roman" w:hAnsi="Times New Roman" w:cs="Times New Roman"/>
        </w:rPr>
      </w:pPr>
    </w:p>
    <w:p w14:paraId="05EB2ED1" w14:textId="70BD4162" w:rsidR="00374C59" w:rsidRPr="00BF230D" w:rsidRDefault="00414C97" w:rsidP="00C17472">
      <w:pPr>
        <w:pStyle w:val="Ttulo2"/>
        <w:numPr>
          <w:ilvl w:val="1"/>
          <w:numId w:val="43"/>
        </w:numPr>
        <w:spacing w:before="0"/>
        <w:ind w:left="567" w:hanging="283"/>
        <w:rPr>
          <w:rFonts w:ascii="Times New Roman" w:hAnsi="Times New Roman" w:cs="Times New Roman"/>
          <w:color w:val="auto"/>
          <w:sz w:val="24"/>
        </w:rPr>
      </w:pPr>
      <w:bookmarkStart w:id="322" w:name="_Toc42069125"/>
      <w:r>
        <w:rPr>
          <w:rFonts w:ascii="Times New Roman" w:hAnsi="Times New Roman" w:cs="Times New Roman"/>
          <w:color w:val="auto"/>
          <w:sz w:val="24"/>
        </w:rPr>
        <w:t xml:space="preserve">Préstamo o Endeudamiento </w:t>
      </w:r>
      <w:r w:rsidR="00710C6F">
        <w:rPr>
          <w:rFonts w:ascii="Times New Roman" w:hAnsi="Times New Roman" w:cs="Times New Roman"/>
          <w:color w:val="auto"/>
          <w:sz w:val="24"/>
        </w:rPr>
        <w:t>Bruto (</w:t>
      </w:r>
      <w:r>
        <w:rPr>
          <w:rFonts w:ascii="Times New Roman" w:hAnsi="Times New Roman" w:cs="Times New Roman"/>
          <w:color w:val="auto"/>
          <w:sz w:val="24"/>
        </w:rPr>
        <w:t xml:space="preserve">Déficit </w:t>
      </w:r>
      <w:r w:rsidR="008A6BFF">
        <w:rPr>
          <w:rFonts w:ascii="Times New Roman" w:hAnsi="Times New Roman" w:cs="Times New Roman"/>
          <w:color w:val="auto"/>
          <w:sz w:val="24"/>
        </w:rPr>
        <w:t>o</w:t>
      </w:r>
      <w:r>
        <w:rPr>
          <w:rFonts w:ascii="Times New Roman" w:hAnsi="Times New Roman" w:cs="Times New Roman"/>
          <w:color w:val="auto"/>
          <w:sz w:val="24"/>
        </w:rPr>
        <w:t xml:space="preserve"> Superávit fiscal)</w:t>
      </w:r>
      <w:bookmarkEnd w:id="322"/>
    </w:p>
    <w:p w14:paraId="524B93F7" w14:textId="77777777" w:rsidR="00823B4B" w:rsidRPr="00BF230D" w:rsidRDefault="00823B4B" w:rsidP="00CD34D6">
      <w:pPr>
        <w:rPr>
          <w:rFonts w:cs="Times New Roman"/>
        </w:rPr>
      </w:pPr>
    </w:p>
    <w:p w14:paraId="3FFF2EA8" w14:textId="66D9F7B4" w:rsidR="004E5827" w:rsidRDefault="00844CCA" w:rsidP="00241DF5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Derivado al resultado operativo</w:t>
      </w:r>
      <w:r w:rsidR="006333A3">
        <w:rPr>
          <w:rFonts w:ascii="Times New Roman" w:hAnsi="Times New Roman" w:cs="Times New Roman"/>
          <w:lang w:val="es-ES_tradnl"/>
        </w:rPr>
        <w:t xml:space="preserve"> y a la inversión bruta de activos no financieros, se obtuvo un</w:t>
      </w:r>
      <w:r w:rsidR="00F629D9" w:rsidRPr="00BF230D">
        <w:rPr>
          <w:rFonts w:ascii="Times New Roman" w:hAnsi="Times New Roman" w:cs="Times New Roman"/>
        </w:rPr>
        <w:t xml:space="preserve"> </w:t>
      </w:r>
      <w:r w:rsidR="00101A90" w:rsidRPr="00BF230D">
        <w:rPr>
          <w:rFonts w:ascii="Times New Roman" w:hAnsi="Times New Roman" w:cs="Times New Roman"/>
        </w:rPr>
        <w:t>endeudamiento</w:t>
      </w:r>
      <w:r w:rsidR="006333A3">
        <w:rPr>
          <w:rFonts w:ascii="Times New Roman" w:hAnsi="Times New Roman" w:cs="Times New Roman"/>
        </w:rPr>
        <w:t xml:space="preserve"> acumulado para marzo</w:t>
      </w:r>
      <w:r w:rsidR="00636477" w:rsidRPr="00BF230D">
        <w:rPr>
          <w:rFonts w:ascii="Times New Roman" w:hAnsi="Times New Roman" w:cs="Times New Roman"/>
        </w:rPr>
        <w:t xml:space="preserve"> </w:t>
      </w:r>
      <w:r w:rsidR="00131669" w:rsidRPr="00BF230D">
        <w:rPr>
          <w:rFonts w:ascii="Times New Roman" w:hAnsi="Times New Roman" w:cs="Times New Roman"/>
        </w:rPr>
        <w:t>de</w:t>
      </w:r>
      <w:r w:rsidR="001142BF" w:rsidRPr="00BF230D">
        <w:rPr>
          <w:rFonts w:ascii="Times New Roman" w:hAnsi="Times New Roman" w:cs="Times New Roman"/>
        </w:rPr>
        <w:t xml:space="preserve"> </w:t>
      </w:r>
      <w:r w:rsidR="00874E00" w:rsidRPr="00BF230D">
        <w:rPr>
          <w:rFonts w:ascii="Times New Roman" w:hAnsi="Times New Roman" w:cs="Times New Roman"/>
        </w:rPr>
        <w:t>Q</w:t>
      </w:r>
      <w:r w:rsidR="004E5AE1" w:rsidRPr="004E5AE1">
        <w:rPr>
          <w:rFonts w:ascii="Times New Roman" w:hAnsi="Times New Roman" w:cs="Times New Roman"/>
        </w:rPr>
        <w:t xml:space="preserve">1,379.4 </w:t>
      </w:r>
      <w:r w:rsidR="00874E00" w:rsidRPr="00BF230D">
        <w:rPr>
          <w:rFonts w:ascii="Times New Roman" w:hAnsi="Times New Roman" w:cs="Times New Roman"/>
        </w:rPr>
        <w:t>millones</w:t>
      </w:r>
      <w:r w:rsidR="00E96A34">
        <w:rPr>
          <w:rFonts w:ascii="Times New Roman" w:hAnsi="Times New Roman" w:cs="Times New Roman"/>
        </w:rPr>
        <w:t xml:space="preserve"> en el estado de operaciones, </w:t>
      </w:r>
      <w:r w:rsidR="009C0BBC">
        <w:rPr>
          <w:rFonts w:ascii="Times New Roman" w:hAnsi="Times New Roman" w:cs="Times New Roman"/>
        </w:rPr>
        <w:t>lo cual es un</w:t>
      </w:r>
      <w:r w:rsidR="00A45DB5">
        <w:rPr>
          <w:rFonts w:ascii="Times New Roman" w:hAnsi="Times New Roman" w:cs="Times New Roman"/>
        </w:rPr>
        <w:t xml:space="preserve"> deterioro considerable </w:t>
      </w:r>
      <w:r w:rsidR="009C0BBC">
        <w:rPr>
          <w:rFonts w:ascii="Times New Roman" w:hAnsi="Times New Roman" w:cs="Times New Roman"/>
        </w:rPr>
        <w:t xml:space="preserve">en comparación al valor </w:t>
      </w:r>
      <w:r w:rsidR="001A3807">
        <w:rPr>
          <w:rFonts w:ascii="Times New Roman" w:hAnsi="Times New Roman" w:cs="Times New Roman"/>
        </w:rPr>
        <w:t xml:space="preserve">negativo </w:t>
      </w:r>
      <w:r w:rsidR="009C0BBC">
        <w:rPr>
          <w:rFonts w:ascii="Times New Roman" w:hAnsi="Times New Roman" w:cs="Times New Roman"/>
        </w:rPr>
        <w:t>observado en 2019</w:t>
      </w:r>
      <w:r w:rsidR="00720B93">
        <w:rPr>
          <w:rFonts w:ascii="Times New Roman" w:hAnsi="Times New Roman" w:cs="Times New Roman"/>
        </w:rPr>
        <w:t xml:space="preserve"> de Q</w:t>
      </w:r>
      <w:r w:rsidR="00D86EEA">
        <w:rPr>
          <w:rFonts w:ascii="Times New Roman" w:hAnsi="Times New Roman" w:cs="Times New Roman"/>
        </w:rPr>
        <w:t>532 millones</w:t>
      </w:r>
      <w:r w:rsidR="00F83F22">
        <w:rPr>
          <w:rFonts w:ascii="Times New Roman" w:hAnsi="Times New Roman" w:cs="Times New Roman"/>
        </w:rPr>
        <w:t xml:space="preserve"> </w:t>
      </w:r>
      <w:r w:rsidR="005B4C80">
        <w:rPr>
          <w:rFonts w:ascii="Times New Roman" w:hAnsi="Times New Roman" w:cs="Times New Roman"/>
        </w:rPr>
        <w:t>lo cual</w:t>
      </w:r>
      <w:r w:rsidR="00F83F22">
        <w:rPr>
          <w:rFonts w:ascii="Times New Roman" w:hAnsi="Times New Roman" w:cs="Times New Roman"/>
        </w:rPr>
        <w:t xml:space="preserve"> significa </w:t>
      </w:r>
      <w:r w:rsidR="00501A4F">
        <w:rPr>
          <w:rFonts w:ascii="Times New Roman" w:hAnsi="Times New Roman" w:cs="Times New Roman"/>
        </w:rPr>
        <w:t xml:space="preserve">que el endeudamiento a marzo de 2020 fue mayor por </w:t>
      </w:r>
      <w:r w:rsidR="0092033A">
        <w:rPr>
          <w:rFonts w:ascii="Times New Roman" w:hAnsi="Times New Roman" w:cs="Times New Roman"/>
        </w:rPr>
        <w:t>Q8</w:t>
      </w:r>
      <w:r w:rsidR="001A3807">
        <w:rPr>
          <w:rFonts w:ascii="Times New Roman" w:hAnsi="Times New Roman" w:cs="Times New Roman"/>
        </w:rPr>
        <w:t>47</w:t>
      </w:r>
      <w:r w:rsidR="0092033A">
        <w:rPr>
          <w:rFonts w:ascii="Times New Roman" w:hAnsi="Times New Roman" w:cs="Times New Roman"/>
        </w:rPr>
        <w:t>.</w:t>
      </w:r>
      <w:r w:rsidR="001A3807">
        <w:rPr>
          <w:rFonts w:ascii="Times New Roman" w:hAnsi="Times New Roman" w:cs="Times New Roman"/>
        </w:rPr>
        <w:t>4</w:t>
      </w:r>
      <w:r w:rsidR="0092033A">
        <w:rPr>
          <w:rFonts w:ascii="Times New Roman" w:hAnsi="Times New Roman" w:cs="Times New Roman"/>
        </w:rPr>
        <w:t xml:space="preserve"> millones</w:t>
      </w:r>
      <w:r w:rsidR="00501A4F">
        <w:rPr>
          <w:rFonts w:ascii="Times New Roman" w:hAnsi="Times New Roman" w:cs="Times New Roman"/>
        </w:rPr>
        <w:t>.</w:t>
      </w:r>
      <w:r w:rsidR="0064260A">
        <w:rPr>
          <w:rFonts w:ascii="Times New Roman" w:hAnsi="Times New Roman" w:cs="Times New Roman"/>
        </w:rPr>
        <w:t xml:space="preserve"> Se espera que en los próximos meses se incremente el</w:t>
      </w:r>
      <w:r w:rsidR="00E92B9C">
        <w:rPr>
          <w:rFonts w:ascii="Times New Roman" w:hAnsi="Times New Roman" w:cs="Times New Roman"/>
        </w:rPr>
        <w:t xml:space="preserve"> endeudamiento derivado de </w:t>
      </w:r>
      <w:r w:rsidR="00BA1BA6">
        <w:rPr>
          <w:rFonts w:ascii="Times New Roman" w:hAnsi="Times New Roman" w:cs="Times New Roman"/>
        </w:rPr>
        <w:t>la situación actual vivida a causa del COVID-19</w:t>
      </w:r>
      <w:r w:rsidR="00C110C3">
        <w:rPr>
          <w:rFonts w:ascii="Times New Roman" w:hAnsi="Times New Roman" w:cs="Times New Roman"/>
        </w:rPr>
        <w:t>.</w:t>
      </w:r>
    </w:p>
    <w:p w14:paraId="15588FFC" w14:textId="37503C48" w:rsidR="004E5827" w:rsidRDefault="004E5827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1C255CE4" w14:textId="123D224E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4E59B485" w14:textId="626F3645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5F81DABE" w14:textId="13B19786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4CF3554E" w14:textId="2E1C784A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153F7864" w14:textId="3EFA4F13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23B84EF7" w14:textId="77777777" w:rsidR="00D652DD" w:rsidRDefault="00D652DD" w:rsidP="00241DF5">
      <w:pPr>
        <w:pStyle w:val="Sinespaciado"/>
        <w:jc w:val="both"/>
        <w:rPr>
          <w:rFonts w:ascii="Times New Roman" w:hAnsi="Times New Roman" w:cs="Times New Roman"/>
        </w:rPr>
      </w:pPr>
    </w:p>
    <w:p w14:paraId="2670AA9D" w14:textId="77777777" w:rsidR="00D312AD" w:rsidRDefault="00D312AD">
      <w:pPr>
        <w:spacing w:after="200" w:line="276" w:lineRule="auto"/>
        <w:jc w:val="left"/>
        <w:rPr>
          <w:rFonts w:cs="Times New Roman"/>
          <w:b/>
          <w:szCs w:val="22"/>
          <w:lang w:val="es-MX"/>
        </w:rPr>
      </w:pPr>
      <w:r>
        <w:rPr>
          <w:rFonts w:cs="Times New Roman"/>
          <w:b/>
          <w:szCs w:val="22"/>
          <w:lang w:val="es-MX"/>
        </w:rPr>
        <w:br w:type="page"/>
      </w:r>
    </w:p>
    <w:p w14:paraId="18D08DDA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5E3C69D8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203F2090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597B8080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2A6954FB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331205E4" w14:textId="77777777" w:rsidR="00C17472" w:rsidRDefault="00C17472" w:rsidP="00997543">
      <w:pPr>
        <w:jc w:val="center"/>
        <w:rPr>
          <w:rFonts w:cs="Times New Roman"/>
          <w:b/>
          <w:szCs w:val="22"/>
          <w:lang w:val="es-MX"/>
        </w:rPr>
      </w:pPr>
    </w:p>
    <w:p w14:paraId="3414FDFB" w14:textId="25EDE90B" w:rsidR="00264A75" w:rsidRDefault="00264A75" w:rsidP="00997543">
      <w:pPr>
        <w:jc w:val="center"/>
        <w:rPr>
          <w:rFonts w:cs="Times New Roman"/>
          <w:b/>
          <w:szCs w:val="22"/>
          <w:lang w:val="es-MX"/>
        </w:rPr>
      </w:pPr>
      <w:r w:rsidRPr="00BF230D">
        <w:rPr>
          <w:rFonts w:cs="Times New Roman"/>
          <w:b/>
          <w:szCs w:val="22"/>
          <w:lang w:val="es-MX"/>
        </w:rPr>
        <w:t xml:space="preserve">Estado de </w:t>
      </w:r>
      <w:r w:rsidR="00697544" w:rsidRPr="00BF230D">
        <w:rPr>
          <w:rFonts w:cs="Times New Roman"/>
          <w:b/>
          <w:szCs w:val="22"/>
          <w:lang w:val="es-MX"/>
        </w:rPr>
        <w:t>O</w:t>
      </w:r>
      <w:r w:rsidRPr="00BF230D">
        <w:rPr>
          <w:rFonts w:cs="Times New Roman"/>
          <w:b/>
          <w:szCs w:val="22"/>
          <w:lang w:val="es-MX"/>
        </w:rPr>
        <w:t>peraciones</w:t>
      </w:r>
      <w:r w:rsidR="007105EE">
        <w:rPr>
          <w:rFonts w:cs="Times New Roman"/>
          <w:b/>
          <w:szCs w:val="22"/>
          <w:lang w:val="es-MX"/>
        </w:rPr>
        <w:t xml:space="preserve"> </w:t>
      </w:r>
      <w:r w:rsidRPr="00BF230D">
        <w:rPr>
          <w:rFonts w:cs="Times New Roman"/>
          <w:b/>
          <w:szCs w:val="22"/>
          <w:lang w:val="es-MX"/>
        </w:rPr>
        <w:t>del Gobierno Central Presupuestario</w:t>
      </w:r>
    </w:p>
    <w:p w14:paraId="2E3C6876" w14:textId="74483256" w:rsidR="007105EE" w:rsidRPr="00BF230D" w:rsidRDefault="007105EE" w:rsidP="00997543">
      <w:pPr>
        <w:jc w:val="center"/>
        <w:rPr>
          <w:rFonts w:cs="Times New Roman"/>
          <w:b/>
          <w:szCs w:val="22"/>
          <w:lang w:val="es-MX"/>
        </w:rPr>
      </w:pPr>
      <w:r>
        <w:rPr>
          <w:rFonts w:cs="Times New Roman"/>
          <w:b/>
          <w:szCs w:val="22"/>
          <w:lang w:val="es-MX"/>
        </w:rPr>
        <w:t>Cifras acumuladas a marzo*</w:t>
      </w:r>
    </w:p>
    <w:p w14:paraId="573DB828" w14:textId="17CF3A1F" w:rsidR="00697544" w:rsidRDefault="00697544" w:rsidP="00997543">
      <w:pPr>
        <w:jc w:val="center"/>
        <w:rPr>
          <w:rFonts w:cs="Times New Roman"/>
          <w:bCs/>
          <w:szCs w:val="22"/>
          <w:lang w:val="es-MX"/>
        </w:rPr>
      </w:pPr>
      <w:r w:rsidRPr="00BF230D">
        <w:rPr>
          <w:rFonts w:cs="Times New Roman"/>
          <w:bCs/>
          <w:szCs w:val="22"/>
          <w:lang w:val="es-MX"/>
        </w:rPr>
        <w:t>En millones de Quetzales</w:t>
      </w:r>
      <w:r w:rsidR="00414C97">
        <w:rPr>
          <w:rFonts w:cs="Times New Roman"/>
          <w:bCs/>
          <w:szCs w:val="22"/>
          <w:lang w:val="es-MX"/>
        </w:rPr>
        <w:t xml:space="preserve"> y Porcentajes</w:t>
      </w:r>
    </w:p>
    <w:p w14:paraId="03F57262" w14:textId="77777777" w:rsidR="00962B0A" w:rsidRPr="00BF230D" w:rsidRDefault="00962B0A" w:rsidP="00997543">
      <w:pPr>
        <w:jc w:val="center"/>
        <w:rPr>
          <w:rFonts w:cs="Times New Roman"/>
          <w:bCs/>
          <w:szCs w:val="22"/>
          <w:lang w:val="es-MX"/>
        </w:rPr>
      </w:pPr>
    </w:p>
    <w:tbl>
      <w:tblPr>
        <w:tblW w:w="7133" w:type="dxa"/>
        <w:jc w:val="center"/>
        <w:tblLook w:val="04A0" w:firstRow="1" w:lastRow="0" w:firstColumn="1" w:lastColumn="0" w:noHBand="0" w:noVBand="1"/>
      </w:tblPr>
      <w:tblGrid>
        <w:gridCol w:w="3063"/>
        <w:gridCol w:w="916"/>
        <w:gridCol w:w="1058"/>
        <w:gridCol w:w="1075"/>
        <w:gridCol w:w="1025"/>
      </w:tblGrid>
      <w:tr w:rsidR="00962B0A" w:rsidRPr="00CE0953" w14:paraId="31429173" w14:textId="77777777" w:rsidTr="00C17472">
        <w:trPr>
          <w:trHeight w:val="269"/>
          <w:jc w:val="center"/>
        </w:trPr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44546A"/>
            <w:noWrap/>
            <w:vAlign w:val="center"/>
            <w:hideMark/>
          </w:tcPr>
          <w:p w14:paraId="7E084F93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  <w:t>Descripción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FE1A87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2F08FD5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  <w:t>2020*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546A"/>
            <w:vAlign w:val="center"/>
            <w:hideMark/>
          </w:tcPr>
          <w:p w14:paraId="06EC45E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US" w:eastAsia="en-US"/>
              </w:rPr>
              <w:t>Variación Interanual</w:t>
            </w:r>
          </w:p>
        </w:tc>
      </w:tr>
      <w:tr w:rsidR="00962B0A" w:rsidRPr="00CE0953" w14:paraId="2631D9A8" w14:textId="77777777" w:rsidTr="00C17472">
        <w:trPr>
          <w:trHeight w:val="269"/>
          <w:jc w:val="center"/>
        </w:trPr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2BD25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F2282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BCEEA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6CD99E2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 w:eastAsia="en-US"/>
              </w:rPr>
              <w:t>Absoluta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89559C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US" w:eastAsia="en-US"/>
              </w:rPr>
              <w:t>Relativa</w:t>
            </w:r>
          </w:p>
        </w:tc>
      </w:tr>
      <w:tr w:rsidR="00962B0A" w:rsidRPr="00CE0953" w14:paraId="65E65E06" w14:textId="77777777" w:rsidTr="00C17472">
        <w:trPr>
          <w:trHeight w:val="74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9E6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96FC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F28D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DD1E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B631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62B0A" w:rsidRPr="00CE0953" w14:paraId="1FCA2CEB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F6B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INGRESO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93A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15,964.6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10B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15,506.5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D67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-458.1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DDE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-2.9 </w:t>
            </w:r>
          </w:p>
        </w:tc>
      </w:tr>
      <w:tr w:rsidR="00962B0A" w:rsidRPr="00CE0953" w14:paraId="4AC48FA1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0319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Impuestos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93C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14,918.5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F30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14,350.3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24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-568.2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EF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-3.8 </w:t>
            </w:r>
          </w:p>
        </w:tc>
      </w:tr>
      <w:tr w:rsidR="00962B0A" w:rsidRPr="00CE0953" w14:paraId="41FD766B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DAA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Otros Ingresos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BC3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1,046.1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74C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1,156.2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E3C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110.1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1E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10.5 </w:t>
            </w:r>
          </w:p>
        </w:tc>
      </w:tr>
      <w:tr w:rsidR="00962B0A" w:rsidRPr="00CE0953" w14:paraId="2DC02B75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BCBD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GASTO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EA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15,869.7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4D9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16,681.8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946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812.0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46BA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5.1 </w:t>
            </w:r>
          </w:p>
        </w:tc>
      </w:tr>
      <w:tr w:rsidR="00962B0A" w:rsidRPr="00CE0953" w14:paraId="5F8C99B6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F1D5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Remuneración a los empleados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596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5,689.2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39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6,505.5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85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816.2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AA3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14.3 </w:t>
            </w:r>
          </w:p>
        </w:tc>
      </w:tr>
      <w:tr w:rsidR="00962B0A" w:rsidRPr="00CE0953" w14:paraId="6E263951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B3C2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Intereses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EEBE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1,322.5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3FC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1,796.9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292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474.4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27D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35.9 </w:t>
            </w:r>
          </w:p>
        </w:tc>
      </w:tr>
      <w:tr w:rsidR="00962B0A" w:rsidRPr="00CE0953" w14:paraId="6BAA9C0D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C1B3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Donaciones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D1C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4,919.4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D9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4,464.2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CA9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-455.2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D26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-9.3 </w:t>
            </w:r>
          </w:p>
        </w:tc>
      </w:tr>
      <w:tr w:rsidR="00962B0A" w:rsidRPr="00CE0953" w14:paraId="28C6AB8B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939D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Otros Gastos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F4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3,938.5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D87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3,915.1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F9C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-23.4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607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-0.6 </w:t>
            </w:r>
          </w:p>
        </w:tc>
      </w:tr>
      <w:tr w:rsidR="00962B0A" w:rsidRPr="00CE0953" w14:paraId="5A9FBB91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C611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Resultado Operativo Primario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5A7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1,417.4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40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621.7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0A9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-795.7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13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-56.1 </w:t>
            </w:r>
          </w:p>
        </w:tc>
      </w:tr>
      <w:tr w:rsidR="00962B0A" w:rsidRPr="00CE0953" w14:paraId="55331FED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908E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Resultado Operativo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A2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94.8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3C7E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-1,175.3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707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-1,270.1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2BA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-1,339.6 </w:t>
            </w:r>
          </w:p>
        </w:tc>
      </w:tr>
      <w:tr w:rsidR="00962B0A" w:rsidRPr="00CE0953" w14:paraId="26B69087" w14:textId="77777777" w:rsidTr="00C17472">
        <w:trPr>
          <w:trHeight w:val="118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BB04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3BDA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0B43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E6ED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E6EA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62B0A" w:rsidRPr="00CE0953" w14:paraId="78263992" w14:textId="77777777" w:rsidTr="00C17472">
        <w:trPr>
          <w:trHeight w:val="269"/>
          <w:jc w:val="center"/>
        </w:trPr>
        <w:tc>
          <w:tcPr>
            <w:tcW w:w="71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45B6" w14:textId="77777777" w:rsidR="0030676A" w:rsidRPr="00C17472" w:rsidRDefault="0030676A" w:rsidP="0030676A">
            <w:pPr>
              <w:rPr>
                <w:rFonts w:eastAsia="Times New Roman" w:cs="Times New Roman"/>
                <w:b/>
                <w:bCs/>
                <w:color w:val="4472C4"/>
                <w:sz w:val="18"/>
                <w:szCs w:val="18"/>
                <w:lang w:eastAsia="en-US"/>
              </w:rPr>
            </w:pPr>
            <w:r w:rsidRPr="00C17472">
              <w:rPr>
                <w:rFonts w:eastAsia="Times New Roman" w:cs="Times New Roman"/>
                <w:b/>
                <w:bCs/>
                <w:color w:val="4472C4"/>
                <w:sz w:val="18"/>
                <w:szCs w:val="18"/>
                <w:lang w:eastAsia="en-US"/>
              </w:rPr>
              <w:t>TRANSACCIONES EN ACTIVOS NO FINANCIEROS</w:t>
            </w:r>
          </w:p>
        </w:tc>
      </w:tr>
      <w:tr w:rsidR="00962B0A" w:rsidRPr="00CE0953" w14:paraId="6EDD5981" w14:textId="77777777" w:rsidTr="00C17472">
        <w:trPr>
          <w:trHeight w:val="26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89CD" w14:textId="77777777" w:rsidR="0030676A" w:rsidRPr="00C17472" w:rsidRDefault="0030676A" w:rsidP="00C1747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1747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Inversión bruta en activos no financieros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6FB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626.8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FA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204.1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E2E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-422.7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FC2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-67.4 </w:t>
            </w:r>
          </w:p>
        </w:tc>
      </w:tr>
      <w:tr w:rsidR="00962B0A" w:rsidRPr="00CE0953" w14:paraId="0A3A0680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94F0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Erogación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846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16,496.5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DBE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16,885.9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E6A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389.4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FB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2.4 </w:t>
            </w:r>
          </w:p>
        </w:tc>
      </w:tr>
      <w:tr w:rsidR="00962B0A" w:rsidRPr="00CE0953" w14:paraId="2F8BE2FE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0B54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Resultado Primario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384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790.6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4F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417.5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6EE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-373.0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712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-47.2 </w:t>
            </w:r>
          </w:p>
        </w:tc>
      </w:tr>
      <w:tr w:rsidR="00962B0A" w:rsidRPr="00CE0953" w14:paraId="266F38BC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1DE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Préstamo (+) / endeudamiento (-)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621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-532.0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C7E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-1,379.4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921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-847.4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184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-159.3 </w:t>
            </w:r>
          </w:p>
        </w:tc>
      </w:tr>
      <w:tr w:rsidR="00962B0A" w:rsidRPr="00CE0953" w14:paraId="440B7DD4" w14:textId="77777777" w:rsidTr="00C17472">
        <w:trPr>
          <w:trHeight w:val="107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5A64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7CDB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9ED1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C026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2DF8" w14:textId="77777777" w:rsidR="0030676A" w:rsidRPr="00CE0953" w:rsidRDefault="0030676A" w:rsidP="0030676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62B0A" w:rsidRPr="00CE0953" w14:paraId="42734D45" w14:textId="77777777" w:rsidTr="00C17472">
        <w:trPr>
          <w:trHeight w:val="269"/>
          <w:jc w:val="center"/>
        </w:trPr>
        <w:tc>
          <w:tcPr>
            <w:tcW w:w="71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F5E0" w14:textId="77777777" w:rsidR="0030676A" w:rsidRPr="00C17472" w:rsidRDefault="0030676A" w:rsidP="0030676A">
            <w:pPr>
              <w:rPr>
                <w:rFonts w:eastAsia="Times New Roman" w:cs="Times New Roman"/>
                <w:b/>
                <w:bCs/>
                <w:color w:val="4472C4"/>
                <w:sz w:val="18"/>
                <w:szCs w:val="18"/>
                <w:lang w:eastAsia="en-US"/>
              </w:rPr>
            </w:pPr>
            <w:r w:rsidRPr="00C17472">
              <w:rPr>
                <w:rFonts w:eastAsia="Times New Roman" w:cs="Times New Roman"/>
                <w:b/>
                <w:bCs/>
                <w:color w:val="4472C4"/>
                <w:sz w:val="18"/>
                <w:szCs w:val="18"/>
                <w:lang w:eastAsia="en-US"/>
              </w:rPr>
              <w:t>TRANSACCIONES EN ACTIVOS Y PASIVOS FINANCIEROS (FINANCIMIENTO)</w:t>
            </w:r>
          </w:p>
        </w:tc>
      </w:tr>
      <w:tr w:rsidR="00962B0A" w:rsidRPr="00CE0953" w14:paraId="6D1E49D3" w14:textId="77777777" w:rsidTr="00C17472">
        <w:trPr>
          <w:trHeight w:val="26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2110" w14:textId="77777777" w:rsidR="0030676A" w:rsidRPr="00C17472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4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Adquisición neta de activos financieros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4A3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-728.0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ECE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987.1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5534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1,715.1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979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235.6 </w:t>
            </w:r>
          </w:p>
        </w:tc>
      </w:tr>
      <w:tr w:rsidR="00962B0A" w:rsidRPr="00CE0953" w14:paraId="5ED675D0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0DAD" w14:textId="77777777" w:rsidR="0030676A" w:rsidRPr="00C17472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1747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Billetes y monedas y depósitos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809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-727.5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D30E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987.3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B4B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1,714.8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FC78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235.7 </w:t>
            </w:r>
          </w:p>
        </w:tc>
      </w:tr>
      <w:tr w:rsidR="00962B0A" w:rsidRPr="00CE0953" w14:paraId="76A3E618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DD1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Préstamos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824A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-0.5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11EC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-0.2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57B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0.3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35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53.0 </w:t>
            </w:r>
          </w:p>
        </w:tc>
      </w:tr>
      <w:tr w:rsidR="00962B0A" w:rsidRPr="00CE0953" w14:paraId="11EFC1ED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27AD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Otros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C3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-0.0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AF3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-0.0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A22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0.0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C343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62B0A" w:rsidRPr="00CE0953" w14:paraId="60833DA3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59BF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Incurrimiento neto de pasivos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42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2,528.3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05C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1,732.3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587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-796.1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8C2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-31.5 </w:t>
            </w:r>
          </w:p>
        </w:tc>
      </w:tr>
      <w:tr w:rsidR="00962B0A" w:rsidRPr="00CE0953" w14:paraId="00FDF07E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8543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Títulos de deuda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629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3,258.7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CED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2,516.2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0542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-742.5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818F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-22.8 </w:t>
            </w:r>
          </w:p>
        </w:tc>
      </w:tr>
      <w:tr w:rsidR="00962B0A" w:rsidRPr="00CE0953" w14:paraId="324C203B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C553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Préstamos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D9CA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-730.3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2184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-783.9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23E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-53.6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D77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-7.3 </w:t>
            </w:r>
          </w:p>
        </w:tc>
      </w:tr>
      <w:tr w:rsidR="00962B0A" w:rsidRPr="00CE0953" w14:paraId="03FF77B4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56F8" w14:textId="77777777" w:rsidR="0030676A" w:rsidRPr="00CE0953" w:rsidRDefault="0030676A" w:rsidP="00CE0953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Otros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324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0.0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A86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0.0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5160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0.0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2E5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62B0A" w:rsidRPr="00CE0953" w14:paraId="271C6612" w14:textId="77777777" w:rsidTr="00C17472">
        <w:trPr>
          <w:trHeight w:val="259"/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E3D2" w14:textId="77777777" w:rsidR="0030676A" w:rsidRPr="00CE0953" w:rsidRDefault="0030676A" w:rsidP="00C1747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Discrepancia estadística global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DF4C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FF0000"/>
                <w:sz w:val="20"/>
                <w:szCs w:val="20"/>
                <w:lang w:val="en-US" w:eastAsia="en-US"/>
              </w:rPr>
              <w:t xml:space="preserve">-2,724.4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671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634.2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431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3,358.6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56B" w14:textId="77777777" w:rsidR="0030676A" w:rsidRPr="00CE0953" w:rsidRDefault="0030676A" w:rsidP="003067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E0953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123.3 </w:t>
            </w:r>
          </w:p>
        </w:tc>
      </w:tr>
    </w:tbl>
    <w:p w14:paraId="0EBB224C" w14:textId="77777777" w:rsidR="00FB2E05" w:rsidRPr="00BF230D" w:rsidRDefault="00FB2E05" w:rsidP="00CD34D6">
      <w:pPr>
        <w:rPr>
          <w:rFonts w:cs="Times New Roman"/>
          <w:bCs/>
          <w:szCs w:val="22"/>
          <w:lang w:val="es-MX"/>
        </w:rPr>
      </w:pPr>
    </w:p>
    <w:p w14:paraId="77198D96" w14:textId="4CAEB83D" w:rsidR="003C303F" w:rsidRPr="00BF230D" w:rsidRDefault="003C303F" w:rsidP="007105EE">
      <w:pPr>
        <w:ind w:left="1134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*Cifras preliminares</w:t>
      </w:r>
    </w:p>
    <w:p w14:paraId="2A59A8D5" w14:textId="77777777" w:rsidR="003C303F" w:rsidRPr="00BF230D" w:rsidRDefault="003C303F" w:rsidP="007105EE">
      <w:pPr>
        <w:ind w:left="1134"/>
        <w:rPr>
          <w:rFonts w:cs="Times New Roman"/>
          <w:sz w:val="16"/>
          <w:szCs w:val="22"/>
          <w:lang w:val="es-MX"/>
        </w:rPr>
      </w:pPr>
      <w:r w:rsidRPr="00BF230D">
        <w:rPr>
          <w:rFonts w:cs="Times New Roman"/>
          <w:sz w:val="16"/>
          <w:szCs w:val="22"/>
          <w:lang w:val="es-MX"/>
        </w:rPr>
        <w:t>Fuente: MINFIN</w:t>
      </w:r>
    </w:p>
    <w:p w14:paraId="0CB438FD" w14:textId="0A6D44C9" w:rsidR="003A2B85" w:rsidRPr="00BF230D" w:rsidRDefault="003A2B85" w:rsidP="00EE52DF">
      <w:pPr>
        <w:pStyle w:val="Sinespaciado"/>
        <w:jc w:val="both"/>
        <w:rPr>
          <w:rFonts w:ascii="Times New Roman" w:hAnsi="Times New Roman" w:cs="Times New Roman"/>
        </w:rPr>
      </w:pPr>
    </w:p>
    <w:p w14:paraId="225769EA" w14:textId="77777777" w:rsidR="00621318" w:rsidRPr="00BF230D" w:rsidRDefault="00621318" w:rsidP="00621318">
      <w:pPr>
        <w:pStyle w:val="Textoindependiente"/>
        <w:spacing w:after="0"/>
        <w:ind w:left="708"/>
        <w:rPr>
          <w:rFonts w:cs="Times New Roman"/>
          <w:sz w:val="16"/>
          <w:szCs w:val="24"/>
        </w:rPr>
      </w:pPr>
    </w:p>
    <w:p w14:paraId="43955A24" w14:textId="77777777" w:rsidR="00EE52DF" w:rsidRPr="00BF230D" w:rsidRDefault="00EE52DF" w:rsidP="00CD34D6">
      <w:pPr>
        <w:rPr>
          <w:rFonts w:cs="Times New Roman"/>
          <w:sz w:val="14"/>
        </w:rPr>
      </w:pPr>
    </w:p>
    <w:sectPr w:rsidR="00EE52DF" w:rsidRPr="00BF230D" w:rsidSect="00D319A6">
      <w:type w:val="continuous"/>
      <w:pgSz w:w="12240" w:h="15840" w:code="1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5980" w14:textId="77777777" w:rsidR="00DD6B26" w:rsidRDefault="00DD6B26" w:rsidP="000B5E1C">
      <w:r>
        <w:separator/>
      </w:r>
    </w:p>
  </w:endnote>
  <w:endnote w:type="continuationSeparator" w:id="0">
    <w:p w14:paraId="7DD5FA38" w14:textId="77777777" w:rsidR="00DD6B26" w:rsidRDefault="00DD6B26" w:rsidP="000B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  <w:i/>
        <w:color w:val="1F497D" w:themeColor="text2"/>
        <w:lang w:val="es-ES"/>
      </w:rPr>
      <w:id w:val="1089358670"/>
      <w:docPartObj>
        <w:docPartGallery w:val="Page Numbers (Bottom of Page)"/>
        <w:docPartUnique/>
      </w:docPartObj>
    </w:sdtPr>
    <w:sdtEndPr/>
    <w:sdtContent>
      <w:p w14:paraId="37044282" w14:textId="25C1EAE2" w:rsidR="00C17472" w:rsidRPr="00AC45C7" w:rsidRDefault="00C17472">
        <w:pPr>
          <w:pStyle w:val="Piedepgina"/>
          <w:jc w:val="right"/>
          <w:rPr>
            <w:rFonts w:cs="Times New Roman"/>
            <w:i/>
            <w:color w:val="1F497D" w:themeColor="text2"/>
          </w:rPr>
        </w:pPr>
        <w:r>
          <w:rPr>
            <w:rFonts w:cs="Times New Roman"/>
            <w:i/>
            <w:noProof/>
            <w:color w:val="1F497D" w:themeColor="text2"/>
            <w:lang w:eastAsia="es-GT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1B4743A9" wp14:editId="17FB757A">
                  <wp:simplePos x="0" y="0"/>
                  <wp:positionH relativeFrom="column">
                    <wp:posOffset>77580</wp:posOffset>
                  </wp:positionH>
                  <wp:positionV relativeFrom="paragraph">
                    <wp:posOffset>-58006</wp:posOffset>
                  </wp:positionV>
                  <wp:extent cx="6027089" cy="47708"/>
                  <wp:effectExtent l="0" t="0" r="12065" b="28575"/>
                  <wp:wrapNone/>
                  <wp:docPr id="43" name="4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27089" cy="4770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7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99000">
                                <a:schemeClr val="bg1">
                                  <a:lumMod val="95000"/>
                                </a:schemeClr>
                              </a:gs>
                              <a:gs pos="89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77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99000">
                                  <a:schemeClr val="bg1">
                                    <a:lumMod val="95000"/>
                                  </a:schemeClr>
                                </a:gs>
                                <a:gs pos="89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9654541" id="43 Rectángulo" o:spid="_x0000_s1026" style="position:absolute;margin-left:6.1pt;margin-top:-4.55pt;width:474.55pt;height:3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" fillcolor="#8aabd3 [2132]" strokeweight="2pt">
                  <v:fill color2="#f2f2f2 [3052]" rotate="t" angle="90" colors="0 #9ab5e4;50463f #c2d1ed;58327f #e1e8f5;64881f #f2f2f2" focus="100%" type="gradient">
                    <o:fill v:ext="view" type="gradientUnscaled"/>
                  </v:fill>
                </v:rect>
              </w:pict>
            </mc:Fallback>
          </mc:AlternateContent>
        </w:r>
        <w:r w:rsidRPr="00AC45C7">
          <w:rPr>
            <w:rFonts w:cs="Times New Roman"/>
            <w:i/>
            <w:color w:val="1F497D" w:themeColor="text2"/>
            <w:lang w:val="es-ES"/>
          </w:rPr>
          <w:t xml:space="preserve">Página | </w:t>
        </w:r>
        <w:r w:rsidRPr="00AC45C7">
          <w:rPr>
            <w:rFonts w:cs="Times New Roman"/>
            <w:i/>
            <w:color w:val="1F497D" w:themeColor="text2"/>
          </w:rPr>
          <w:fldChar w:fldCharType="begin"/>
        </w:r>
        <w:r w:rsidRPr="00AC45C7">
          <w:rPr>
            <w:rFonts w:cs="Times New Roman"/>
            <w:i/>
            <w:color w:val="1F497D" w:themeColor="text2"/>
          </w:rPr>
          <w:instrText>PAGE   \* MERGEFORMAT</w:instrText>
        </w:r>
        <w:r w:rsidRPr="00AC45C7">
          <w:rPr>
            <w:rFonts w:cs="Times New Roman"/>
            <w:i/>
            <w:color w:val="1F497D" w:themeColor="text2"/>
          </w:rPr>
          <w:fldChar w:fldCharType="separate"/>
        </w:r>
        <w:r w:rsidRPr="00744948">
          <w:rPr>
            <w:rFonts w:cs="Times New Roman"/>
            <w:i/>
            <w:noProof/>
            <w:color w:val="1F497D" w:themeColor="text2"/>
            <w:lang w:val="es-ES"/>
          </w:rPr>
          <w:t>26</w:t>
        </w:r>
        <w:r w:rsidRPr="00AC45C7">
          <w:rPr>
            <w:rFonts w:cs="Times New Roman"/>
            <w:i/>
            <w:color w:val="1F497D" w:themeColor="text2"/>
          </w:rPr>
          <w:fldChar w:fldCharType="end"/>
        </w:r>
        <w:r w:rsidRPr="00AC45C7">
          <w:rPr>
            <w:rFonts w:cs="Times New Roman"/>
            <w:i/>
            <w:color w:val="1F497D" w:themeColor="text2"/>
            <w:lang w:val="es-ES"/>
          </w:rPr>
          <w:t xml:space="preserve"> </w:t>
        </w:r>
      </w:p>
    </w:sdtContent>
  </w:sdt>
  <w:p w14:paraId="39784CD2" w14:textId="1C1BF928" w:rsidR="00C17472" w:rsidRPr="00D5619D" w:rsidRDefault="00C17472">
    <w:pPr>
      <w:pStyle w:val="Piedepgina"/>
      <w:rPr>
        <w:rFonts w:cs="Times New Roman"/>
        <w:i/>
        <w:color w:val="1F497D" w:themeColor="text2"/>
      </w:rPr>
    </w:pPr>
    <w:r w:rsidRPr="00D5619D">
      <w:rPr>
        <w:rFonts w:cs="Times New Roman"/>
        <w:i/>
        <w:color w:val="1F497D" w:themeColor="text2"/>
      </w:rPr>
      <w:t>Informe d</w:t>
    </w:r>
    <w:r>
      <w:rPr>
        <w:rFonts w:cs="Times New Roman"/>
        <w:i/>
        <w:color w:val="1F497D" w:themeColor="text2"/>
      </w:rPr>
      <w:t>e las Finanzas Públicas - Primer Trimestre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7582" w14:textId="77777777" w:rsidR="00C17472" w:rsidRDefault="00C17472">
    <w:pPr>
      <w:pStyle w:val="Piedepgina"/>
    </w:pPr>
    <w:r>
      <w:rPr>
        <w:rFonts w:cs="Times New Roman"/>
        <w:i/>
        <w:noProof/>
        <w:color w:val="1F497D" w:themeColor="text2"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7F3FC" wp14:editId="2B07D3AE">
              <wp:simplePos x="0" y="0"/>
              <wp:positionH relativeFrom="column">
                <wp:posOffset>77580</wp:posOffset>
              </wp:positionH>
              <wp:positionV relativeFrom="paragraph">
                <wp:posOffset>-206568</wp:posOffset>
              </wp:positionV>
              <wp:extent cx="5931315" cy="47625"/>
              <wp:effectExtent l="0" t="0" r="12700" b="28575"/>
              <wp:wrapNone/>
              <wp:docPr id="45" name="4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15" cy="47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99000">
                            <a:schemeClr val="bg1">
                              <a:lumMod val="95000"/>
                            </a:schemeClr>
                          </a:gs>
                          <a:gs pos="89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673BD2" id="45 Rectángulo" o:spid="_x0000_s1026" style="position:absolute;margin-left:6.1pt;margin-top:-16.25pt;width:467.05pt;height: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" fillcolor="#8aabd3 [2132]" strokeweight="2pt">
              <v:fill color2="#f2f2f2 [3052]" rotate="t" angle="90" colors="0 #9ab5e4;50463f #c2d1ed;58327f #e1e8f5;64881f #f2f2f2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39A9" w14:textId="77777777" w:rsidR="00DD6B26" w:rsidRDefault="00DD6B26" w:rsidP="000B5E1C">
      <w:r>
        <w:separator/>
      </w:r>
    </w:p>
  </w:footnote>
  <w:footnote w:type="continuationSeparator" w:id="0">
    <w:p w14:paraId="6BD25D92" w14:textId="77777777" w:rsidR="00DD6B26" w:rsidRDefault="00DD6B26" w:rsidP="000B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444E" w14:textId="77777777" w:rsidR="00C17472" w:rsidRPr="00AC45C7" w:rsidRDefault="00C17472" w:rsidP="00AC45C7">
    <w:pPr>
      <w:pStyle w:val="Encabezado"/>
      <w:jc w:val="right"/>
      <w:rPr>
        <w:rFonts w:cs="Times New Roman"/>
        <w:i/>
        <w:color w:val="1F497D" w:themeColor="text2"/>
      </w:rPr>
    </w:pPr>
    <w:r>
      <w:rPr>
        <w:rFonts w:cs="Times New Roman"/>
        <w:i/>
        <w:noProof/>
        <w:color w:val="1F497D" w:themeColor="text2"/>
        <w:lang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DEA52F" wp14:editId="4673C80D">
              <wp:simplePos x="0" y="0"/>
              <wp:positionH relativeFrom="column">
                <wp:posOffset>1421351</wp:posOffset>
              </wp:positionH>
              <wp:positionV relativeFrom="paragraph">
                <wp:posOffset>313110</wp:posOffset>
              </wp:positionV>
              <wp:extent cx="4683014" cy="45719"/>
              <wp:effectExtent l="0" t="0" r="22860" b="12065"/>
              <wp:wrapNone/>
              <wp:docPr id="44" name="4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3014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99000">
                            <a:schemeClr val="bg1">
                              <a:lumMod val="95000"/>
                            </a:schemeClr>
                          </a:gs>
                          <a:gs pos="89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643C9C" id="44 Rectángulo" o:spid="_x0000_s1026" style="position:absolute;margin-left:111.9pt;margin-top:24.65pt;width:368.75pt;height:3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" fillcolor="#8aabd3 [2132]" strokeweight="2pt">
              <v:fill color2="#f2f2f2 [3052]" rotate="t" angle="90" colors="0 #9ab5e4;50463f #c2d1ed;58327f #e1e8f5;64881f #f2f2f2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0" locked="0" layoutInCell="1" allowOverlap="1" wp14:anchorId="62CE7B9A" wp14:editId="2668BDD4">
          <wp:simplePos x="0" y="0"/>
          <wp:positionH relativeFrom="column">
            <wp:posOffset>-63611</wp:posOffset>
          </wp:positionH>
          <wp:positionV relativeFrom="paragraph">
            <wp:posOffset>-286882</wp:posOffset>
          </wp:positionV>
          <wp:extent cx="1598212" cy="723976"/>
          <wp:effectExtent l="0" t="0" r="2540" b="0"/>
          <wp:wrapNone/>
          <wp:docPr id="18" name="Imagen 18" descr="Resultado de imagen para gobierno de guatem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gobierno de guatema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72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5C7">
      <w:rPr>
        <w:rFonts w:cs="Times New Roman"/>
        <w:i/>
        <w:color w:val="1F497D" w:themeColor="text2"/>
      </w:rPr>
      <w:t>Dirección de Análisis y Política Fiscal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C581" w14:textId="01FEE6E9" w:rsidR="00C17472" w:rsidRPr="005329C2" w:rsidRDefault="00C17472" w:rsidP="00CB498E">
    <w:pPr>
      <w:pStyle w:val="Encabezado"/>
      <w:jc w:val="center"/>
      <w:rPr>
        <w:rFonts w:cs="Times New Roman"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60D"/>
    <w:multiLevelType w:val="hybridMultilevel"/>
    <w:tmpl w:val="5652F5FA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A32CD"/>
    <w:multiLevelType w:val="hybridMultilevel"/>
    <w:tmpl w:val="6818CF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E59"/>
    <w:multiLevelType w:val="hybridMultilevel"/>
    <w:tmpl w:val="F832278A"/>
    <w:lvl w:ilvl="0" w:tplc="4142F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6B5"/>
    <w:multiLevelType w:val="hybridMultilevel"/>
    <w:tmpl w:val="02E2FB34"/>
    <w:lvl w:ilvl="0" w:tplc="2E8286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248"/>
    <w:multiLevelType w:val="hybridMultilevel"/>
    <w:tmpl w:val="2E12EF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2"/>
    <w:multiLevelType w:val="multilevel"/>
    <w:tmpl w:val="896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5232B"/>
    <w:multiLevelType w:val="hybridMultilevel"/>
    <w:tmpl w:val="E06C4B02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03721B"/>
    <w:multiLevelType w:val="multilevel"/>
    <w:tmpl w:val="432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605102"/>
    <w:multiLevelType w:val="hybridMultilevel"/>
    <w:tmpl w:val="FEA4A058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756652"/>
    <w:multiLevelType w:val="hybridMultilevel"/>
    <w:tmpl w:val="4C3CF3C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E3C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D32D9"/>
    <w:multiLevelType w:val="hybridMultilevel"/>
    <w:tmpl w:val="D6B8F3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09C0"/>
    <w:multiLevelType w:val="hybridMultilevel"/>
    <w:tmpl w:val="92F073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D94"/>
    <w:multiLevelType w:val="hybridMultilevel"/>
    <w:tmpl w:val="D4A449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4AD2"/>
    <w:multiLevelType w:val="multilevel"/>
    <w:tmpl w:val="0C0A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E61988"/>
    <w:multiLevelType w:val="hybridMultilevel"/>
    <w:tmpl w:val="7D04A81C"/>
    <w:lvl w:ilvl="0" w:tplc="A1F83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44CF8"/>
    <w:multiLevelType w:val="hybridMultilevel"/>
    <w:tmpl w:val="39F4D9A0"/>
    <w:lvl w:ilvl="0" w:tplc="10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8A822C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A66356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FC0AC50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2F2C20D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76561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7B4C0E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FFBC65E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AD008E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7" w15:restartNumberingAfterBreak="0">
    <w:nsid w:val="3F4E4675"/>
    <w:multiLevelType w:val="hybridMultilevel"/>
    <w:tmpl w:val="592A14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78AD"/>
    <w:multiLevelType w:val="multilevel"/>
    <w:tmpl w:val="6BE6B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3772FF"/>
    <w:multiLevelType w:val="multilevel"/>
    <w:tmpl w:val="896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455B36"/>
    <w:multiLevelType w:val="hybridMultilevel"/>
    <w:tmpl w:val="2F9A9654"/>
    <w:lvl w:ilvl="0" w:tplc="DB6E8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7C29"/>
    <w:multiLevelType w:val="hybridMultilevel"/>
    <w:tmpl w:val="21D2FB3A"/>
    <w:lvl w:ilvl="0" w:tplc="100A0017">
      <w:start w:val="1"/>
      <w:numFmt w:val="lowerLetter"/>
      <w:lvlText w:val="%1)"/>
      <w:lvlJc w:val="left"/>
      <w:pPr>
        <w:ind w:left="1776" w:hanging="360"/>
      </w:p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23C077D"/>
    <w:multiLevelType w:val="multilevel"/>
    <w:tmpl w:val="432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777B9E"/>
    <w:multiLevelType w:val="hybridMultilevel"/>
    <w:tmpl w:val="3F0047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1421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741E90"/>
    <w:multiLevelType w:val="multilevel"/>
    <w:tmpl w:val="58DEA22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B02801"/>
    <w:multiLevelType w:val="hybridMultilevel"/>
    <w:tmpl w:val="CDF2324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5F78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403D22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E5754F"/>
    <w:multiLevelType w:val="hybridMultilevel"/>
    <w:tmpl w:val="66D0A5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A7293"/>
    <w:multiLevelType w:val="hybridMultilevel"/>
    <w:tmpl w:val="574693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B22BF"/>
    <w:multiLevelType w:val="hybridMultilevel"/>
    <w:tmpl w:val="7D0EE6BA"/>
    <w:lvl w:ilvl="0" w:tplc="FD3A4A7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E267F"/>
    <w:multiLevelType w:val="hybridMultilevel"/>
    <w:tmpl w:val="B18CB37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D15BE"/>
    <w:multiLevelType w:val="multilevel"/>
    <w:tmpl w:val="E6A25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9C3A2A"/>
    <w:multiLevelType w:val="hybridMultilevel"/>
    <w:tmpl w:val="36860404"/>
    <w:lvl w:ilvl="0" w:tplc="46F0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0B6EE">
      <w:start w:val="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E46F8">
      <w:start w:val="8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6D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2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3E5119"/>
    <w:multiLevelType w:val="hybridMultilevel"/>
    <w:tmpl w:val="D05E2C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B5DA4"/>
    <w:multiLevelType w:val="hybridMultilevel"/>
    <w:tmpl w:val="E174D1C4"/>
    <w:lvl w:ilvl="0" w:tplc="80D27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7">
      <w:start w:val="1"/>
      <w:numFmt w:val="lowerLetter"/>
      <w:lvlText w:val="%2)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C45"/>
    <w:multiLevelType w:val="hybridMultilevel"/>
    <w:tmpl w:val="0C14AC04"/>
    <w:lvl w:ilvl="0" w:tplc="100A0017">
      <w:start w:val="1"/>
      <w:numFmt w:val="lowerLetter"/>
      <w:lvlText w:val="%1)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050691"/>
    <w:multiLevelType w:val="hybridMultilevel"/>
    <w:tmpl w:val="ED325860"/>
    <w:lvl w:ilvl="0" w:tplc="BDAE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86473"/>
    <w:multiLevelType w:val="hybridMultilevel"/>
    <w:tmpl w:val="AFA85F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90913"/>
    <w:multiLevelType w:val="hybridMultilevel"/>
    <w:tmpl w:val="8D88FC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C208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1"/>
  </w:num>
  <w:num w:numId="5">
    <w:abstractNumId w:val="29"/>
  </w:num>
  <w:num w:numId="6">
    <w:abstractNumId w:val="39"/>
  </w:num>
  <w:num w:numId="7">
    <w:abstractNumId w:val="30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22"/>
  </w:num>
  <w:num w:numId="13">
    <w:abstractNumId w:val="31"/>
  </w:num>
  <w:num w:numId="14">
    <w:abstractNumId w:val="26"/>
  </w:num>
  <w:num w:numId="15">
    <w:abstractNumId w:val="6"/>
  </w:num>
  <w:num w:numId="16">
    <w:abstractNumId w:val="0"/>
  </w:num>
  <w:num w:numId="17">
    <w:abstractNumId w:val="16"/>
  </w:num>
  <w:num w:numId="18">
    <w:abstractNumId w:val="21"/>
  </w:num>
  <w:num w:numId="19">
    <w:abstractNumId w:val="34"/>
  </w:num>
  <w:num w:numId="20">
    <w:abstractNumId w:val="15"/>
  </w:num>
  <w:num w:numId="21">
    <w:abstractNumId w:val="36"/>
  </w:num>
  <w:num w:numId="22">
    <w:abstractNumId w:val="37"/>
  </w:num>
  <w:num w:numId="23">
    <w:abstractNumId w:val="14"/>
  </w:num>
  <w:num w:numId="24">
    <w:abstractNumId w:val="14"/>
  </w:num>
  <w:num w:numId="25">
    <w:abstractNumId w:val="8"/>
  </w:num>
  <w:num w:numId="26">
    <w:abstractNumId w:val="2"/>
  </w:num>
  <w:num w:numId="27">
    <w:abstractNumId w:val="35"/>
  </w:num>
  <w:num w:numId="28">
    <w:abstractNumId w:val="9"/>
  </w:num>
  <w:num w:numId="29">
    <w:abstractNumId w:val="13"/>
  </w:num>
  <w:num w:numId="30">
    <w:abstractNumId w:val="38"/>
  </w:num>
  <w:num w:numId="31">
    <w:abstractNumId w:val="1"/>
  </w:num>
  <w:num w:numId="32">
    <w:abstractNumId w:val="33"/>
  </w:num>
  <w:num w:numId="33">
    <w:abstractNumId w:val="40"/>
  </w:num>
  <w:num w:numId="34">
    <w:abstractNumId w:val="17"/>
  </w:num>
  <w:num w:numId="35">
    <w:abstractNumId w:val="10"/>
  </w:num>
  <w:num w:numId="36">
    <w:abstractNumId w:val="41"/>
  </w:num>
  <w:num w:numId="37">
    <w:abstractNumId w:val="32"/>
  </w:num>
  <w:num w:numId="38">
    <w:abstractNumId w:val="20"/>
  </w:num>
  <w:num w:numId="39">
    <w:abstractNumId w:val="28"/>
  </w:num>
  <w:num w:numId="40">
    <w:abstractNumId w:val="5"/>
  </w:num>
  <w:num w:numId="41">
    <w:abstractNumId w:val="24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8"/>
    <w:rsid w:val="000002AE"/>
    <w:rsid w:val="00000530"/>
    <w:rsid w:val="000013F6"/>
    <w:rsid w:val="00001B7A"/>
    <w:rsid w:val="000032AE"/>
    <w:rsid w:val="00003BA5"/>
    <w:rsid w:val="000045FB"/>
    <w:rsid w:val="0001429E"/>
    <w:rsid w:val="00017D51"/>
    <w:rsid w:val="00023981"/>
    <w:rsid w:val="00023DC8"/>
    <w:rsid w:val="00024FF6"/>
    <w:rsid w:val="00025456"/>
    <w:rsid w:val="000267E3"/>
    <w:rsid w:val="00027A8F"/>
    <w:rsid w:val="000306FE"/>
    <w:rsid w:val="00031937"/>
    <w:rsid w:val="00031A96"/>
    <w:rsid w:val="00033312"/>
    <w:rsid w:val="00033B15"/>
    <w:rsid w:val="00035E51"/>
    <w:rsid w:val="00042AA3"/>
    <w:rsid w:val="00045570"/>
    <w:rsid w:val="000500D6"/>
    <w:rsid w:val="00053F58"/>
    <w:rsid w:val="000617F8"/>
    <w:rsid w:val="00062E16"/>
    <w:rsid w:val="00063A1D"/>
    <w:rsid w:val="00063CB5"/>
    <w:rsid w:val="00064BA9"/>
    <w:rsid w:val="00065991"/>
    <w:rsid w:val="00070108"/>
    <w:rsid w:val="00071B55"/>
    <w:rsid w:val="0007319D"/>
    <w:rsid w:val="00076415"/>
    <w:rsid w:val="00081A07"/>
    <w:rsid w:val="00082E65"/>
    <w:rsid w:val="00083239"/>
    <w:rsid w:val="0008380C"/>
    <w:rsid w:val="000852BF"/>
    <w:rsid w:val="0008775B"/>
    <w:rsid w:val="00087EE1"/>
    <w:rsid w:val="00090AF4"/>
    <w:rsid w:val="000A2D19"/>
    <w:rsid w:val="000A47FE"/>
    <w:rsid w:val="000A60A1"/>
    <w:rsid w:val="000B346C"/>
    <w:rsid w:val="000B4083"/>
    <w:rsid w:val="000B46D9"/>
    <w:rsid w:val="000B5E1C"/>
    <w:rsid w:val="000B6143"/>
    <w:rsid w:val="000B778D"/>
    <w:rsid w:val="000C0470"/>
    <w:rsid w:val="000C070B"/>
    <w:rsid w:val="000C1F8D"/>
    <w:rsid w:val="000C25EB"/>
    <w:rsid w:val="000C5BDD"/>
    <w:rsid w:val="000C7076"/>
    <w:rsid w:val="000D29F4"/>
    <w:rsid w:val="000D2DE9"/>
    <w:rsid w:val="000D2DF6"/>
    <w:rsid w:val="000D2F4D"/>
    <w:rsid w:val="000D365F"/>
    <w:rsid w:val="000D4B4D"/>
    <w:rsid w:val="000D58D6"/>
    <w:rsid w:val="000E1495"/>
    <w:rsid w:val="000E3036"/>
    <w:rsid w:val="000E3B60"/>
    <w:rsid w:val="000E3BAE"/>
    <w:rsid w:val="000E3E7A"/>
    <w:rsid w:val="000E488C"/>
    <w:rsid w:val="000E51BC"/>
    <w:rsid w:val="000F0DA3"/>
    <w:rsid w:val="000F3450"/>
    <w:rsid w:val="000F4F51"/>
    <w:rsid w:val="000F62DA"/>
    <w:rsid w:val="00101A90"/>
    <w:rsid w:val="001043AB"/>
    <w:rsid w:val="001057E4"/>
    <w:rsid w:val="00106EF4"/>
    <w:rsid w:val="00107A66"/>
    <w:rsid w:val="00107D8A"/>
    <w:rsid w:val="00110318"/>
    <w:rsid w:val="001111A3"/>
    <w:rsid w:val="00111D58"/>
    <w:rsid w:val="00112A52"/>
    <w:rsid w:val="00113A1E"/>
    <w:rsid w:val="001142BF"/>
    <w:rsid w:val="00115772"/>
    <w:rsid w:val="00121349"/>
    <w:rsid w:val="00122F2F"/>
    <w:rsid w:val="0012357F"/>
    <w:rsid w:val="0012656D"/>
    <w:rsid w:val="001276C3"/>
    <w:rsid w:val="00131669"/>
    <w:rsid w:val="00131D6C"/>
    <w:rsid w:val="00131D79"/>
    <w:rsid w:val="00134770"/>
    <w:rsid w:val="001359D4"/>
    <w:rsid w:val="00136243"/>
    <w:rsid w:val="00143578"/>
    <w:rsid w:val="00146C6D"/>
    <w:rsid w:val="0015275F"/>
    <w:rsid w:val="00153B8C"/>
    <w:rsid w:val="001559F9"/>
    <w:rsid w:val="001604E9"/>
    <w:rsid w:val="00160BA5"/>
    <w:rsid w:val="001610AF"/>
    <w:rsid w:val="001613DC"/>
    <w:rsid w:val="001628C8"/>
    <w:rsid w:val="00162970"/>
    <w:rsid w:val="0016346E"/>
    <w:rsid w:val="00163DED"/>
    <w:rsid w:val="0016414B"/>
    <w:rsid w:val="001650AC"/>
    <w:rsid w:val="00166CE0"/>
    <w:rsid w:val="001674F6"/>
    <w:rsid w:val="00167B5B"/>
    <w:rsid w:val="001703DF"/>
    <w:rsid w:val="001708EB"/>
    <w:rsid w:val="001822D3"/>
    <w:rsid w:val="00182B79"/>
    <w:rsid w:val="00183D01"/>
    <w:rsid w:val="00183EF6"/>
    <w:rsid w:val="00184554"/>
    <w:rsid w:val="00190C51"/>
    <w:rsid w:val="00193F01"/>
    <w:rsid w:val="001A0005"/>
    <w:rsid w:val="001A00C9"/>
    <w:rsid w:val="001A1E5E"/>
    <w:rsid w:val="001A30CA"/>
    <w:rsid w:val="001A3807"/>
    <w:rsid w:val="001A5253"/>
    <w:rsid w:val="001B21B7"/>
    <w:rsid w:val="001B2958"/>
    <w:rsid w:val="001B2B19"/>
    <w:rsid w:val="001B61DF"/>
    <w:rsid w:val="001C29A0"/>
    <w:rsid w:val="001C3E21"/>
    <w:rsid w:val="001C55F6"/>
    <w:rsid w:val="001C5F1C"/>
    <w:rsid w:val="001C6301"/>
    <w:rsid w:val="001D1C90"/>
    <w:rsid w:val="001D1C9B"/>
    <w:rsid w:val="001D2C47"/>
    <w:rsid w:val="001D41AC"/>
    <w:rsid w:val="001E130A"/>
    <w:rsid w:val="001E4277"/>
    <w:rsid w:val="001E4E3D"/>
    <w:rsid w:val="001E62DA"/>
    <w:rsid w:val="001E7182"/>
    <w:rsid w:val="001F135F"/>
    <w:rsid w:val="001F1BB6"/>
    <w:rsid w:val="001F2E5B"/>
    <w:rsid w:val="001F3D1E"/>
    <w:rsid w:val="001F67A2"/>
    <w:rsid w:val="001F7025"/>
    <w:rsid w:val="002005A3"/>
    <w:rsid w:val="002005AD"/>
    <w:rsid w:val="00201159"/>
    <w:rsid w:val="00203326"/>
    <w:rsid w:val="002043B3"/>
    <w:rsid w:val="00205055"/>
    <w:rsid w:val="00205BCA"/>
    <w:rsid w:val="00206BA3"/>
    <w:rsid w:val="00210CD5"/>
    <w:rsid w:val="0021699A"/>
    <w:rsid w:val="002171B6"/>
    <w:rsid w:val="0021724C"/>
    <w:rsid w:val="00217D1E"/>
    <w:rsid w:val="0022065E"/>
    <w:rsid w:val="00222586"/>
    <w:rsid w:val="0022319A"/>
    <w:rsid w:val="00225C31"/>
    <w:rsid w:val="002338A1"/>
    <w:rsid w:val="0023437E"/>
    <w:rsid w:val="00235A61"/>
    <w:rsid w:val="00236A70"/>
    <w:rsid w:val="00241428"/>
    <w:rsid w:val="00241DF5"/>
    <w:rsid w:val="00243641"/>
    <w:rsid w:val="00243DA8"/>
    <w:rsid w:val="00244A1B"/>
    <w:rsid w:val="00250EA9"/>
    <w:rsid w:val="0025146C"/>
    <w:rsid w:val="00252321"/>
    <w:rsid w:val="00252AFC"/>
    <w:rsid w:val="00253436"/>
    <w:rsid w:val="002569AC"/>
    <w:rsid w:val="002634CC"/>
    <w:rsid w:val="00264074"/>
    <w:rsid w:val="00264727"/>
    <w:rsid w:val="00264A75"/>
    <w:rsid w:val="00266132"/>
    <w:rsid w:val="002663D9"/>
    <w:rsid w:val="002710C2"/>
    <w:rsid w:val="00271558"/>
    <w:rsid w:val="00275E3C"/>
    <w:rsid w:val="002813A3"/>
    <w:rsid w:val="00282253"/>
    <w:rsid w:val="002860D8"/>
    <w:rsid w:val="00286B2D"/>
    <w:rsid w:val="0028717E"/>
    <w:rsid w:val="00292383"/>
    <w:rsid w:val="00293196"/>
    <w:rsid w:val="00295600"/>
    <w:rsid w:val="002968F0"/>
    <w:rsid w:val="00297EA1"/>
    <w:rsid w:val="002A0E66"/>
    <w:rsid w:val="002A60BD"/>
    <w:rsid w:val="002B2B84"/>
    <w:rsid w:val="002B2D17"/>
    <w:rsid w:val="002B4F4E"/>
    <w:rsid w:val="002B5F1D"/>
    <w:rsid w:val="002B6254"/>
    <w:rsid w:val="002B69F7"/>
    <w:rsid w:val="002B7931"/>
    <w:rsid w:val="002C1DC7"/>
    <w:rsid w:val="002C53CC"/>
    <w:rsid w:val="002C7FB8"/>
    <w:rsid w:val="002D05A5"/>
    <w:rsid w:val="002D0BE6"/>
    <w:rsid w:val="002D1469"/>
    <w:rsid w:val="002D1E9B"/>
    <w:rsid w:val="002D5151"/>
    <w:rsid w:val="002D5DEA"/>
    <w:rsid w:val="002D7AF6"/>
    <w:rsid w:val="002E0416"/>
    <w:rsid w:val="002E3C2D"/>
    <w:rsid w:val="002E3F7A"/>
    <w:rsid w:val="002E4264"/>
    <w:rsid w:val="002F347E"/>
    <w:rsid w:val="003000C2"/>
    <w:rsid w:val="00300F2D"/>
    <w:rsid w:val="00301F9F"/>
    <w:rsid w:val="00303787"/>
    <w:rsid w:val="00303B1F"/>
    <w:rsid w:val="003044D2"/>
    <w:rsid w:val="00304996"/>
    <w:rsid w:val="00304B36"/>
    <w:rsid w:val="0030676A"/>
    <w:rsid w:val="00311363"/>
    <w:rsid w:val="00313EDC"/>
    <w:rsid w:val="00316717"/>
    <w:rsid w:val="0032255F"/>
    <w:rsid w:val="00323314"/>
    <w:rsid w:val="0032588B"/>
    <w:rsid w:val="00325EC5"/>
    <w:rsid w:val="0033184E"/>
    <w:rsid w:val="00331C73"/>
    <w:rsid w:val="00333574"/>
    <w:rsid w:val="00333809"/>
    <w:rsid w:val="00333816"/>
    <w:rsid w:val="0034386E"/>
    <w:rsid w:val="00353F26"/>
    <w:rsid w:val="00354481"/>
    <w:rsid w:val="003554AC"/>
    <w:rsid w:val="00357F5B"/>
    <w:rsid w:val="003605B6"/>
    <w:rsid w:val="00362357"/>
    <w:rsid w:val="003624FC"/>
    <w:rsid w:val="0036359B"/>
    <w:rsid w:val="00363B4C"/>
    <w:rsid w:val="00364844"/>
    <w:rsid w:val="00365DF5"/>
    <w:rsid w:val="0037237D"/>
    <w:rsid w:val="00374654"/>
    <w:rsid w:val="00374C59"/>
    <w:rsid w:val="00375D21"/>
    <w:rsid w:val="0038019E"/>
    <w:rsid w:val="00380981"/>
    <w:rsid w:val="00381684"/>
    <w:rsid w:val="00383208"/>
    <w:rsid w:val="003838A1"/>
    <w:rsid w:val="00383E04"/>
    <w:rsid w:val="00390BB4"/>
    <w:rsid w:val="003911A5"/>
    <w:rsid w:val="0039614C"/>
    <w:rsid w:val="00396614"/>
    <w:rsid w:val="003A02BE"/>
    <w:rsid w:val="003A08F6"/>
    <w:rsid w:val="003A17BD"/>
    <w:rsid w:val="003A1DF7"/>
    <w:rsid w:val="003A2B85"/>
    <w:rsid w:val="003A3942"/>
    <w:rsid w:val="003A78F3"/>
    <w:rsid w:val="003B4217"/>
    <w:rsid w:val="003B560F"/>
    <w:rsid w:val="003B6399"/>
    <w:rsid w:val="003C0D6A"/>
    <w:rsid w:val="003C0D7B"/>
    <w:rsid w:val="003C0FB9"/>
    <w:rsid w:val="003C303F"/>
    <w:rsid w:val="003C338B"/>
    <w:rsid w:val="003C37F1"/>
    <w:rsid w:val="003C51D3"/>
    <w:rsid w:val="003C5975"/>
    <w:rsid w:val="003C773C"/>
    <w:rsid w:val="003D1490"/>
    <w:rsid w:val="003D234D"/>
    <w:rsid w:val="003D48A2"/>
    <w:rsid w:val="003D6732"/>
    <w:rsid w:val="003D76EE"/>
    <w:rsid w:val="003E1A9F"/>
    <w:rsid w:val="003E1EE8"/>
    <w:rsid w:val="003E32DE"/>
    <w:rsid w:val="003E3472"/>
    <w:rsid w:val="003E3E25"/>
    <w:rsid w:val="003E5859"/>
    <w:rsid w:val="003E7939"/>
    <w:rsid w:val="003F0A79"/>
    <w:rsid w:val="003F27C8"/>
    <w:rsid w:val="003F28D0"/>
    <w:rsid w:val="003F40EE"/>
    <w:rsid w:val="003F57B2"/>
    <w:rsid w:val="003F5841"/>
    <w:rsid w:val="003F5B5D"/>
    <w:rsid w:val="003F6C74"/>
    <w:rsid w:val="0040274D"/>
    <w:rsid w:val="00406A74"/>
    <w:rsid w:val="00407755"/>
    <w:rsid w:val="004077AD"/>
    <w:rsid w:val="0041288C"/>
    <w:rsid w:val="00414C97"/>
    <w:rsid w:val="004157B9"/>
    <w:rsid w:val="00417111"/>
    <w:rsid w:val="00421AD9"/>
    <w:rsid w:val="00425C8B"/>
    <w:rsid w:val="0043129A"/>
    <w:rsid w:val="00432E87"/>
    <w:rsid w:val="00433001"/>
    <w:rsid w:val="00433722"/>
    <w:rsid w:val="00436454"/>
    <w:rsid w:val="00437FE6"/>
    <w:rsid w:val="00441B77"/>
    <w:rsid w:val="00443E20"/>
    <w:rsid w:val="00444BDC"/>
    <w:rsid w:val="00445193"/>
    <w:rsid w:val="00450EC8"/>
    <w:rsid w:val="00451AF6"/>
    <w:rsid w:val="0045490A"/>
    <w:rsid w:val="00454B88"/>
    <w:rsid w:val="00456466"/>
    <w:rsid w:val="004577CB"/>
    <w:rsid w:val="00457E5B"/>
    <w:rsid w:val="0046297C"/>
    <w:rsid w:val="00463E5D"/>
    <w:rsid w:val="00465802"/>
    <w:rsid w:val="00466F68"/>
    <w:rsid w:val="0047070E"/>
    <w:rsid w:val="00472A7D"/>
    <w:rsid w:val="00473867"/>
    <w:rsid w:val="004738CA"/>
    <w:rsid w:val="00474CD6"/>
    <w:rsid w:val="00474EF6"/>
    <w:rsid w:val="00476B36"/>
    <w:rsid w:val="00481A30"/>
    <w:rsid w:val="00482A2A"/>
    <w:rsid w:val="00483449"/>
    <w:rsid w:val="0048450A"/>
    <w:rsid w:val="00484F19"/>
    <w:rsid w:val="00490038"/>
    <w:rsid w:val="004954EE"/>
    <w:rsid w:val="004A23D7"/>
    <w:rsid w:val="004A34FB"/>
    <w:rsid w:val="004A4153"/>
    <w:rsid w:val="004A63A0"/>
    <w:rsid w:val="004A66D9"/>
    <w:rsid w:val="004B1304"/>
    <w:rsid w:val="004B3B07"/>
    <w:rsid w:val="004B5293"/>
    <w:rsid w:val="004B7CDB"/>
    <w:rsid w:val="004C129D"/>
    <w:rsid w:val="004C4B45"/>
    <w:rsid w:val="004C7688"/>
    <w:rsid w:val="004D0CA0"/>
    <w:rsid w:val="004D281A"/>
    <w:rsid w:val="004D412A"/>
    <w:rsid w:val="004D57B2"/>
    <w:rsid w:val="004D7FB7"/>
    <w:rsid w:val="004E33E6"/>
    <w:rsid w:val="004E3572"/>
    <w:rsid w:val="004E3AAF"/>
    <w:rsid w:val="004E4830"/>
    <w:rsid w:val="004E5827"/>
    <w:rsid w:val="004E5AE1"/>
    <w:rsid w:val="004E66CE"/>
    <w:rsid w:val="004E6ACB"/>
    <w:rsid w:val="004F0AD8"/>
    <w:rsid w:val="004F0D26"/>
    <w:rsid w:val="004F26F6"/>
    <w:rsid w:val="004F2A43"/>
    <w:rsid w:val="004F701C"/>
    <w:rsid w:val="004F7BE1"/>
    <w:rsid w:val="004F7FAD"/>
    <w:rsid w:val="00501A4F"/>
    <w:rsid w:val="0050240B"/>
    <w:rsid w:val="00502E91"/>
    <w:rsid w:val="0050318F"/>
    <w:rsid w:val="005035EB"/>
    <w:rsid w:val="00503ACD"/>
    <w:rsid w:val="00504015"/>
    <w:rsid w:val="00504C85"/>
    <w:rsid w:val="005053A8"/>
    <w:rsid w:val="00505912"/>
    <w:rsid w:val="00506324"/>
    <w:rsid w:val="00507168"/>
    <w:rsid w:val="00511FA4"/>
    <w:rsid w:val="0051245F"/>
    <w:rsid w:val="0051376E"/>
    <w:rsid w:val="00513B56"/>
    <w:rsid w:val="00515DEC"/>
    <w:rsid w:val="005176B4"/>
    <w:rsid w:val="0052047D"/>
    <w:rsid w:val="005208E0"/>
    <w:rsid w:val="00522E54"/>
    <w:rsid w:val="00523B44"/>
    <w:rsid w:val="00523F70"/>
    <w:rsid w:val="0052459C"/>
    <w:rsid w:val="005245E1"/>
    <w:rsid w:val="005254D5"/>
    <w:rsid w:val="0053006D"/>
    <w:rsid w:val="00531A45"/>
    <w:rsid w:val="005329C2"/>
    <w:rsid w:val="00533B67"/>
    <w:rsid w:val="00534328"/>
    <w:rsid w:val="00535276"/>
    <w:rsid w:val="005360E7"/>
    <w:rsid w:val="00537655"/>
    <w:rsid w:val="00540B30"/>
    <w:rsid w:val="00541296"/>
    <w:rsid w:val="005414DF"/>
    <w:rsid w:val="0054409D"/>
    <w:rsid w:val="00545F8F"/>
    <w:rsid w:val="005460B1"/>
    <w:rsid w:val="00551F85"/>
    <w:rsid w:val="0055206D"/>
    <w:rsid w:val="005637A4"/>
    <w:rsid w:val="005639BA"/>
    <w:rsid w:val="005641B2"/>
    <w:rsid w:val="00564BC2"/>
    <w:rsid w:val="005666A1"/>
    <w:rsid w:val="00574C98"/>
    <w:rsid w:val="00575577"/>
    <w:rsid w:val="00575935"/>
    <w:rsid w:val="005800AF"/>
    <w:rsid w:val="00580E7C"/>
    <w:rsid w:val="00582426"/>
    <w:rsid w:val="00585A38"/>
    <w:rsid w:val="005879B6"/>
    <w:rsid w:val="00592DB0"/>
    <w:rsid w:val="00594050"/>
    <w:rsid w:val="00594B2E"/>
    <w:rsid w:val="00595267"/>
    <w:rsid w:val="005A1E0F"/>
    <w:rsid w:val="005A31EF"/>
    <w:rsid w:val="005A3E17"/>
    <w:rsid w:val="005A3F4C"/>
    <w:rsid w:val="005A50DD"/>
    <w:rsid w:val="005A5F09"/>
    <w:rsid w:val="005A78C7"/>
    <w:rsid w:val="005B1A84"/>
    <w:rsid w:val="005B2CCD"/>
    <w:rsid w:val="005B2EE5"/>
    <w:rsid w:val="005B33F2"/>
    <w:rsid w:val="005B48D3"/>
    <w:rsid w:val="005B4C80"/>
    <w:rsid w:val="005B51C3"/>
    <w:rsid w:val="005C0BA1"/>
    <w:rsid w:val="005C0CB7"/>
    <w:rsid w:val="005C2BD0"/>
    <w:rsid w:val="005C5656"/>
    <w:rsid w:val="005C68C0"/>
    <w:rsid w:val="005C740C"/>
    <w:rsid w:val="005D0626"/>
    <w:rsid w:val="005D0EFD"/>
    <w:rsid w:val="005D3D0B"/>
    <w:rsid w:val="005D5DFA"/>
    <w:rsid w:val="005D6665"/>
    <w:rsid w:val="005E1FFB"/>
    <w:rsid w:val="005E3C74"/>
    <w:rsid w:val="005E47A3"/>
    <w:rsid w:val="005E491F"/>
    <w:rsid w:val="005E6093"/>
    <w:rsid w:val="005E6CE2"/>
    <w:rsid w:val="005F15D8"/>
    <w:rsid w:val="005F2296"/>
    <w:rsid w:val="005F38AD"/>
    <w:rsid w:val="005F4DBF"/>
    <w:rsid w:val="005F5E9E"/>
    <w:rsid w:val="005F7510"/>
    <w:rsid w:val="00601F9D"/>
    <w:rsid w:val="00602DF4"/>
    <w:rsid w:val="0060308C"/>
    <w:rsid w:val="00604AC9"/>
    <w:rsid w:val="0060690E"/>
    <w:rsid w:val="00611714"/>
    <w:rsid w:val="006122C1"/>
    <w:rsid w:val="00613724"/>
    <w:rsid w:val="0061446B"/>
    <w:rsid w:val="006155C4"/>
    <w:rsid w:val="006178C6"/>
    <w:rsid w:val="006209A8"/>
    <w:rsid w:val="00620D74"/>
    <w:rsid w:val="00621318"/>
    <w:rsid w:val="006227DA"/>
    <w:rsid w:val="00623DF9"/>
    <w:rsid w:val="00624960"/>
    <w:rsid w:val="00624E2C"/>
    <w:rsid w:val="00625B2F"/>
    <w:rsid w:val="00626C24"/>
    <w:rsid w:val="0063084D"/>
    <w:rsid w:val="0063091A"/>
    <w:rsid w:val="00630BB7"/>
    <w:rsid w:val="00631186"/>
    <w:rsid w:val="0063193D"/>
    <w:rsid w:val="00632655"/>
    <w:rsid w:val="006333A3"/>
    <w:rsid w:val="00636477"/>
    <w:rsid w:val="00637486"/>
    <w:rsid w:val="006376ED"/>
    <w:rsid w:val="0063777F"/>
    <w:rsid w:val="0064260A"/>
    <w:rsid w:val="006458EC"/>
    <w:rsid w:val="00647477"/>
    <w:rsid w:val="00647EB3"/>
    <w:rsid w:val="00651138"/>
    <w:rsid w:val="00651807"/>
    <w:rsid w:val="00653100"/>
    <w:rsid w:val="006535F3"/>
    <w:rsid w:val="006550B5"/>
    <w:rsid w:val="00656A22"/>
    <w:rsid w:val="00660FB3"/>
    <w:rsid w:val="006613E6"/>
    <w:rsid w:val="00664482"/>
    <w:rsid w:val="00675919"/>
    <w:rsid w:val="0068029C"/>
    <w:rsid w:val="0068062F"/>
    <w:rsid w:val="00683FDC"/>
    <w:rsid w:val="00685AF2"/>
    <w:rsid w:val="00687AFB"/>
    <w:rsid w:val="00690064"/>
    <w:rsid w:val="006907C5"/>
    <w:rsid w:val="00691446"/>
    <w:rsid w:val="006924C1"/>
    <w:rsid w:val="00693548"/>
    <w:rsid w:val="00694C06"/>
    <w:rsid w:val="00694C5F"/>
    <w:rsid w:val="00697544"/>
    <w:rsid w:val="006A2333"/>
    <w:rsid w:val="006A7A0B"/>
    <w:rsid w:val="006B15F7"/>
    <w:rsid w:val="006B169E"/>
    <w:rsid w:val="006B1A42"/>
    <w:rsid w:val="006B2E90"/>
    <w:rsid w:val="006B32AB"/>
    <w:rsid w:val="006C4BC8"/>
    <w:rsid w:val="006D1884"/>
    <w:rsid w:val="006D4A96"/>
    <w:rsid w:val="006D4AA0"/>
    <w:rsid w:val="006D5B3B"/>
    <w:rsid w:val="006D5C23"/>
    <w:rsid w:val="006D698F"/>
    <w:rsid w:val="006E1820"/>
    <w:rsid w:val="006E29A5"/>
    <w:rsid w:val="006E3A5D"/>
    <w:rsid w:val="006E43AD"/>
    <w:rsid w:val="006E45C9"/>
    <w:rsid w:val="006E4C13"/>
    <w:rsid w:val="006E6A83"/>
    <w:rsid w:val="006E7C12"/>
    <w:rsid w:val="006F07C5"/>
    <w:rsid w:val="006F0BE7"/>
    <w:rsid w:val="006F1D7D"/>
    <w:rsid w:val="006F265F"/>
    <w:rsid w:val="00705989"/>
    <w:rsid w:val="007105EE"/>
    <w:rsid w:val="007109B3"/>
    <w:rsid w:val="00710C6F"/>
    <w:rsid w:val="00711895"/>
    <w:rsid w:val="00713598"/>
    <w:rsid w:val="007142F6"/>
    <w:rsid w:val="00714DD2"/>
    <w:rsid w:val="00720B93"/>
    <w:rsid w:val="00724AC4"/>
    <w:rsid w:val="00724C04"/>
    <w:rsid w:val="00725702"/>
    <w:rsid w:val="00731622"/>
    <w:rsid w:val="00731678"/>
    <w:rsid w:val="00741174"/>
    <w:rsid w:val="00741476"/>
    <w:rsid w:val="0074205F"/>
    <w:rsid w:val="00742B89"/>
    <w:rsid w:val="00744948"/>
    <w:rsid w:val="007464DE"/>
    <w:rsid w:val="00752B7D"/>
    <w:rsid w:val="00752BD0"/>
    <w:rsid w:val="00754057"/>
    <w:rsid w:val="00755C4F"/>
    <w:rsid w:val="0075620D"/>
    <w:rsid w:val="00756949"/>
    <w:rsid w:val="007577E3"/>
    <w:rsid w:val="00757AFA"/>
    <w:rsid w:val="00757CF9"/>
    <w:rsid w:val="00760B57"/>
    <w:rsid w:val="007618BB"/>
    <w:rsid w:val="00762695"/>
    <w:rsid w:val="00763A58"/>
    <w:rsid w:val="0076463A"/>
    <w:rsid w:val="007665A0"/>
    <w:rsid w:val="00770433"/>
    <w:rsid w:val="00771D68"/>
    <w:rsid w:val="007720E2"/>
    <w:rsid w:val="00773DB2"/>
    <w:rsid w:val="007741C6"/>
    <w:rsid w:val="00774760"/>
    <w:rsid w:val="0078428E"/>
    <w:rsid w:val="00785371"/>
    <w:rsid w:val="00785485"/>
    <w:rsid w:val="00785826"/>
    <w:rsid w:val="00785922"/>
    <w:rsid w:val="00786F76"/>
    <w:rsid w:val="00790DCB"/>
    <w:rsid w:val="00791E78"/>
    <w:rsid w:val="00795274"/>
    <w:rsid w:val="00796998"/>
    <w:rsid w:val="00796C04"/>
    <w:rsid w:val="00797DA6"/>
    <w:rsid w:val="007A092E"/>
    <w:rsid w:val="007A0EA7"/>
    <w:rsid w:val="007A17D9"/>
    <w:rsid w:val="007A47E6"/>
    <w:rsid w:val="007A48C1"/>
    <w:rsid w:val="007A76CD"/>
    <w:rsid w:val="007B06C1"/>
    <w:rsid w:val="007B083C"/>
    <w:rsid w:val="007B0E7A"/>
    <w:rsid w:val="007B0EA0"/>
    <w:rsid w:val="007B30FF"/>
    <w:rsid w:val="007B748C"/>
    <w:rsid w:val="007C04D7"/>
    <w:rsid w:val="007C3960"/>
    <w:rsid w:val="007C418C"/>
    <w:rsid w:val="007C573A"/>
    <w:rsid w:val="007C6182"/>
    <w:rsid w:val="007D1222"/>
    <w:rsid w:val="007D29A4"/>
    <w:rsid w:val="007D29D3"/>
    <w:rsid w:val="007D425C"/>
    <w:rsid w:val="007D69C0"/>
    <w:rsid w:val="007E0FF8"/>
    <w:rsid w:val="007E3BA0"/>
    <w:rsid w:val="007E3E99"/>
    <w:rsid w:val="007E4D95"/>
    <w:rsid w:val="007E4F1D"/>
    <w:rsid w:val="007E6B4A"/>
    <w:rsid w:val="007E6F56"/>
    <w:rsid w:val="007E706F"/>
    <w:rsid w:val="007E7F22"/>
    <w:rsid w:val="007F1411"/>
    <w:rsid w:val="007F23CB"/>
    <w:rsid w:val="007F264F"/>
    <w:rsid w:val="007F2F54"/>
    <w:rsid w:val="007F4A25"/>
    <w:rsid w:val="007F5819"/>
    <w:rsid w:val="007F6D2F"/>
    <w:rsid w:val="007F7ACF"/>
    <w:rsid w:val="0080008D"/>
    <w:rsid w:val="008009F2"/>
    <w:rsid w:val="008113CC"/>
    <w:rsid w:val="00816F44"/>
    <w:rsid w:val="00820040"/>
    <w:rsid w:val="008218D0"/>
    <w:rsid w:val="008224A7"/>
    <w:rsid w:val="00823B4B"/>
    <w:rsid w:val="0083166C"/>
    <w:rsid w:val="008316AC"/>
    <w:rsid w:val="008356BF"/>
    <w:rsid w:val="00836AD9"/>
    <w:rsid w:val="00837C97"/>
    <w:rsid w:val="00841B12"/>
    <w:rsid w:val="0084204F"/>
    <w:rsid w:val="00844B0D"/>
    <w:rsid w:val="00844CCA"/>
    <w:rsid w:val="00846F8E"/>
    <w:rsid w:val="00847B8D"/>
    <w:rsid w:val="008507DF"/>
    <w:rsid w:val="00850858"/>
    <w:rsid w:val="00850B85"/>
    <w:rsid w:val="00851DF3"/>
    <w:rsid w:val="00854062"/>
    <w:rsid w:val="00855089"/>
    <w:rsid w:val="0085575A"/>
    <w:rsid w:val="0086070D"/>
    <w:rsid w:val="0086148E"/>
    <w:rsid w:val="0086397C"/>
    <w:rsid w:val="00864A8B"/>
    <w:rsid w:val="0087023C"/>
    <w:rsid w:val="008702D2"/>
    <w:rsid w:val="008737C9"/>
    <w:rsid w:val="00873E56"/>
    <w:rsid w:val="00874E00"/>
    <w:rsid w:val="00876108"/>
    <w:rsid w:val="00881208"/>
    <w:rsid w:val="00885C57"/>
    <w:rsid w:val="008866B3"/>
    <w:rsid w:val="0089177C"/>
    <w:rsid w:val="00891EC9"/>
    <w:rsid w:val="00892DE1"/>
    <w:rsid w:val="00895C38"/>
    <w:rsid w:val="008A095E"/>
    <w:rsid w:val="008A2E42"/>
    <w:rsid w:val="008A4FEF"/>
    <w:rsid w:val="008A5607"/>
    <w:rsid w:val="008A6BFF"/>
    <w:rsid w:val="008A745F"/>
    <w:rsid w:val="008B0203"/>
    <w:rsid w:val="008B1A12"/>
    <w:rsid w:val="008B2529"/>
    <w:rsid w:val="008B4798"/>
    <w:rsid w:val="008B4A57"/>
    <w:rsid w:val="008B60AB"/>
    <w:rsid w:val="008B6DDB"/>
    <w:rsid w:val="008B7759"/>
    <w:rsid w:val="008C0B10"/>
    <w:rsid w:val="008C0B31"/>
    <w:rsid w:val="008C1C2C"/>
    <w:rsid w:val="008C32E0"/>
    <w:rsid w:val="008C4333"/>
    <w:rsid w:val="008C5A14"/>
    <w:rsid w:val="008D1935"/>
    <w:rsid w:val="008D1F1F"/>
    <w:rsid w:val="008D2F42"/>
    <w:rsid w:val="008D3723"/>
    <w:rsid w:val="008D41FA"/>
    <w:rsid w:val="008D49F8"/>
    <w:rsid w:val="008D5301"/>
    <w:rsid w:val="008D7183"/>
    <w:rsid w:val="008D7C78"/>
    <w:rsid w:val="008E001E"/>
    <w:rsid w:val="008E056A"/>
    <w:rsid w:val="008E06AE"/>
    <w:rsid w:val="008E29AA"/>
    <w:rsid w:val="008E4422"/>
    <w:rsid w:val="008E7073"/>
    <w:rsid w:val="008F0529"/>
    <w:rsid w:val="008F29E8"/>
    <w:rsid w:val="008F57EE"/>
    <w:rsid w:val="008F7760"/>
    <w:rsid w:val="009034C6"/>
    <w:rsid w:val="00904429"/>
    <w:rsid w:val="009062BE"/>
    <w:rsid w:val="00910869"/>
    <w:rsid w:val="00910C9F"/>
    <w:rsid w:val="0091250A"/>
    <w:rsid w:val="009135D6"/>
    <w:rsid w:val="00913B7E"/>
    <w:rsid w:val="0091511B"/>
    <w:rsid w:val="00917027"/>
    <w:rsid w:val="0091736E"/>
    <w:rsid w:val="00917901"/>
    <w:rsid w:val="0092033A"/>
    <w:rsid w:val="00920C04"/>
    <w:rsid w:val="00922816"/>
    <w:rsid w:val="0092293D"/>
    <w:rsid w:val="00923B51"/>
    <w:rsid w:val="0092407F"/>
    <w:rsid w:val="00927449"/>
    <w:rsid w:val="00930B3D"/>
    <w:rsid w:val="00937F7E"/>
    <w:rsid w:val="00941ED0"/>
    <w:rsid w:val="009421FB"/>
    <w:rsid w:val="0094317E"/>
    <w:rsid w:val="0094372F"/>
    <w:rsid w:val="00943DE6"/>
    <w:rsid w:val="00952DC6"/>
    <w:rsid w:val="0095449F"/>
    <w:rsid w:val="00955AF6"/>
    <w:rsid w:val="00957397"/>
    <w:rsid w:val="00957A0B"/>
    <w:rsid w:val="00957EC3"/>
    <w:rsid w:val="00961634"/>
    <w:rsid w:val="00961850"/>
    <w:rsid w:val="00961C06"/>
    <w:rsid w:val="00962B0A"/>
    <w:rsid w:val="009661B5"/>
    <w:rsid w:val="009663E7"/>
    <w:rsid w:val="009673A4"/>
    <w:rsid w:val="0097048D"/>
    <w:rsid w:val="00972718"/>
    <w:rsid w:val="0097292C"/>
    <w:rsid w:val="00972ACD"/>
    <w:rsid w:val="009735A4"/>
    <w:rsid w:val="00974B8B"/>
    <w:rsid w:val="00977BE7"/>
    <w:rsid w:val="009821C9"/>
    <w:rsid w:val="00984A5F"/>
    <w:rsid w:val="00984ECC"/>
    <w:rsid w:val="00985750"/>
    <w:rsid w:val="00985B25"/>
    <w:rsid w:val="00985D4E"/>
    <w:rsid w:val="00985D7C"/>
    <w:rsid w:val="00990D47"/>
    <w:rsid w:val="00991A4B"/>
    <w:rsid w:val="00996772"/>
    <w:rsid w:val="00996796"/>
    <w:rsid w:val="00996BD9"/>
    <w:rsid w:val="00997543"/>
    <w:rsid w:val="009A135F"/>
    <w:rsid w:val="009A1471"/>
    <w:rsid w:val="009A2F32"/>
    <w:rsid w:val="009A43F3"/>
    <w:rsid w:val="009A707D"/>
    <w:rsid w:val="009B072A"/>
    <w:rsid w:val="009B0FEE"/>
    <w:rsid w:val="009B4D61"/>
    <w:rsid w:val="009B7E27"/>
    <w:rsid w:val="009C02E6"/>
    <w:rsid w:val="009C0BBC"/>
    <w:rsid w:val="009C234A"/>
    <w:rsid w:val="009C39CA"/>
    <w:rsid w:val="009C3CE0"/>
    <w:rsid w:val="009C5C71"/>
    <w:rsid w:val="009C62CC"/>
    <w:rsid w:val="009C64F6"/>
    <w:rsid w:val="009D0485"/>
    <w:rsid w:val="009D176B"/>
    <w:rsid w:val="009D570D"/>
    <w:rsid w:val="009D5E49"/>
    <w:rsid w:val="009D769A"/>
    <w:rsid w:val="009D7F16"/>
    <w:rsid w:val="009E02F5"/>
    <w:rsid w:val="009E064C"/>
    <w:rsid w:val="009E0D8B"/>
    <w:rsid w:val="009E11E8"/>
    <w:rsid w:val="009E5177"/>
    <w:rsid w:val="009E5719"/>
    <w:rsid w:val="009F0A13"/>
    <w:rsid w:val="009F58CC"/>
    <w:rsid w:val="00A00E9C"/>
    <w:rsid w:val="00A01053"/>
    <w:rsid w:val="00A020E2"/>
    <w:rsid w:val="00A03A87"/>
    <w:rsid w:val="00A10933"/>
    <w:rsid w:val="00A1338E"/>
    <w:rsid w:val="00A14CA7"/>
    <w:rsid w:val="00A20023"/>
    <w:rsid w:val="00A217D7"/>
    <w:rsid w:val="00A25186"/>
    <w:rsid w:val="00A27335"/>
    <w:rsid w:val="00A27F00"/>
    <w:rsid w:val="00A32B7B"/>
    <w:rsid w:val="00A34F85"/>
    <w:rsid w:val="00A37419"/>
    <w:rsid w:val="00A41071"/>
    <w:rsid w:val="00A43CC4"/>
    <w:rsid w:val="00A4406D"/>
    <w:rsid w:val="00A447E1"/>
    <w:rsid w:val="00A44908"/>
    <w:rsid w:val="00A44F6E"/>
    <w:rsid w:val="00A45DB5"/>
    <w:rsid w:val="00A52F77"/>
    <w:rsid w:val="00A53418"/>
    <w:rsid w:val="00A54494"/>
    <w:rsid w:val="00A54701"/>
    <w:rsid w:val="00A5604A"/>
    <w:rsid w:val="00A6081A"/>
    <w:rsid w:val="00A6370E"/>
    <w:rsid w:val="00A6412B"/>
    <w:rsid w:val="00A65009"/>
    <w:rsid w:val="00A66D54"/>
    <w:rsid w:val="00A707D0"/>
    <w:rsid w:val="00A711BC"/>
    <w:rsid w:val="00A72519"/>
    <w:rsid w:val="00A72A8F"/>
    <w:rsid w:val="00A733F0"/>
    <w:rsid w:val="00A74565"/>
    <w:rsid w:val="00A75A8C"/>
    <w:rsid w:val="00A80087"/>
    <w:rsid w:val="00A81B28"/>
    <w:rsid w:val="00A82646"/>
    <w:rsid w:val="00A82B9E"/>
    <w:rsid w:val="00A842DF"/>
    <w:rsid w:val="00A84E2D"/>
    <w:rsid w:val="00A852CE"/>
    <w:rsid w:val="00A85340"/>
    <w:rsid w:val="00A86244"/>
    <w:rsid w:val="00A86397"/>
    <w:rsid w:val="00A86B20"/>
    <w:rsid w:val="00A90EB0"/>
    <w:rsid w:val="00AA0157"/>
    <w:rsid w:val="00AA1FB8"/>
    <w:rsid w:val="00AA5C09"/>
    <w:rsid w:val="00AA7320"/>
    <w:rsid w:val="00AB13A0"/>
    <w:rsid w:val="00AB1ED5"/>
    <w:rsid w:val="00AB3D2E"/>
    <w:rsid w:val="00AB44BD"/>
    <w:rsid w:val="00AB52B2"/>
    <w:rsid w:val="00AB5E67"/>
    <w:rsid w:val="00AB5FE9"/>
    <w:rsid w:val="00AC0121"/>
    <w:rsid w:val="00AC2EA5"/>
    <w:rsid w:val="00AC3849"/>
    <w:rsid w:val="00AC3C92"/>
    <w:rsid w:val="00AC45C7"/>
    <w:rsid w:val="00AC6E57"/>
    <w:rsid w:val="00AD37E5"/>
    <w:rsid w:val="00AD458F"/>
    <w:rsid w:val="00AD4A33"/>
    <w:rsid w:val="00AD5BDA"/>
    <w:rsid w:val="00AD6E9A"/>
    <w:rsid w:val="00AD7B47"/>
    <w:rsid w:val="00AE00A2"/>
    <w:rsid w:val="00AE315C"/>
    <w:rsid w:val="00AE3BB3"/>
    <w:rsid w:val="00AE6569"/>
    <w:rsid w:val="00AF2B4E"/>
    <w:rsid w:val="00AF4618"/>
    <w:rsid w:val="00AF72E5"/>
    <w:rsid w:val="00AF75E5"/>
    <w:rsid w:val="00B10811"/>
    <w:rsid w:val="00B14537"/>
    <w:rsid w:val="00B1487F"/>
    <w:rsid w:val="00B1620D"/>
    <w:rsid w:val="00B17327"/>
    <w:rsid w:val="00B201D3"/>
    <w:rsid w:val="00B20722"/>
    <w:rsid w:val="00B2083B"/>
    <w:rsid w:val="00B21B4C"/>
    <w:rsid w:val="00B2217D"/>
    <w:rsid w:val="00B2225A"/>
    <w:rsid w:val="00B252E6"/>
    <w:rsid w:val="00B30A97"/>
    <w:rsid w:val="00B311F7"/>
    <w:rsid w:val="00B37FD3"/>
    <w:rsid w:val="00B40FD8"/>
    <w:rsid w:val="00B4274D"/>
    <w:rsid w:val="00B445A4"/>
    <w:rsid w:val="00B459F6"/>
    <w:rsid w:val="00B45DB9"/>
    <w:rsid w:val="00B46A75"/>
    <w:rsid w:val="00B47610"/>
    <w:rsid w:val="00B47FC4"/>
    <w:rsid w:val="00B50681"/>
    <w:rsid w:val="00B50E45"/>
    <w:rsid w:val="00B51DF4"/>
    <w:rsid w:val="00B548D0"/>
    <w:rsid w:val="00B554CE"/>
    <w:rsid w:val="00B569C3"/>
    <w:rsid w:val="00B569E9"/>
    <w:rsid w:val="00B57C32"/>
    <w:rsid w:val="00B62B31"/>
    <w:rsid w:val="00B62C35"/>
    <w:rsid w:val="00B64C68"/>
    <w:rsid w:val="00B650EF"/>
    <w:rsid w:val="00B65661"/>
    <w:rsid w:val="00B70A98"/>
    <w:rsid w:val="00B7315B"/>
    <w:rsid w:val="00B754A9"/>
    <w:rsid w:val="00B761F0"/>
    <w:rsid w:val="00B77098"/>
    <w:rsid w:val="00B77F00"/>
    <w:rsid w:val="00B80B05"/>
    <w:rsid w:val="00B818EB"/>
    <w:rsid w:val="00B82678"/>
    <w:rsid w:val="00B836A3"/>
    <w:rsid w:val="00B927A9"/>
    <w:rsid w:val="00B95D11"/>
    <w:rsid w:val="00B97FF7"/>
    <w:rsid w:val="00BA095F"/>
    <w:rsid w:val="00BA132E"/>
    <w:rsid w:val="00BA1BA6"/>
    <w:rsid w:val="00BA3A5B"/>
    <w:rsid w:val="00BA51FA"/>
    <w:rsid w:val="00BA57FB"/>
    <w:rsid w:val="00BA5CA8"/>
    <w:rsid w:val="00BA6BAC"/>
    <w:rsid w:val="00BA7A2D"/>
    <w:rsid w:val="00BB0B76"/>
    <w:rsid w:val="00BB0EF5"/>
    <w:rsid w:val="00BB19AB"/>
    <w:rsid w:val="00BB2D18"/>
    <w:rsid w:val="00BB354E"/>
    <w:rsid w:val="00BB517A"/>
    <w:rsid w:val="00BB5978"/>
    <w:rsid w:val="00BB6C4F"/>
    <w:rsid w:val="00BC01B9"/>
    <w:rsid w:val="00BC3BF7"/>
    <w:rsid w:val="00BC48EA"/>
    <w:rsid w:val="00BC50A6"/>
    <w:rsid w:val="00BC5C19"/>
    <w:rsid w:val="00BC5E5F"/>
    <w:rsid w:val="00BD232B"/>
    <w:rsid w:val="00BD2FF4"/>
    <w:rsid w:val="00BD3FCD"/>
    <w:rsid w:val="00BD40BC"/>
    <w:rsid w:val="00BD4D7B"/>
    <w:rsid w:val="00BD6585"/>
    <w:rsid w:val="00BE1183"/>
    <w:rsid w:val="00BE1836"/>
    <w:rsid w:val="00BE1C37"/>
    <w:rsid w:val="00BE31ED"/>
    <w:rsid w:val="00BE3913"/>
    <w:rsid w:val="00BE546F"/>
    <w:rsid w:val="00BE628A"/>
    <w:rsid w:val="00BE7C94"/>
    <w:rsid w:val="00BF230D"/>
    <w:rsid w:val="00BF28C6"/>
    <w:rsid w:val="00BF3987"/>
    <w:rsid w:val="00BF5954"/>
    <w:rsid w:val="00BF62B1"/>
    <w:rsid w:val="00C042F1"/>
    <w:rsid w:val="00C110C3"/>
    <w:rsid w:val="00C12990"/>
    <w:rsid w:val="00C135BD"/>
    <w:rsid w:val="00C139AC"/>
    <w:rsid w:val="00C1422B"/>
    <w:rsid w:val="00C153E0"/>
    <w:rsid w:val="00C15E54"/>
    <w:rsid w:val="00C17472"/>
    <w:rsid w:val="00C2015A"/>
    <w:rsid w:val="00C204E2"/>
    <w:rsid w:val="00C21B62"/>
    <w:rsid w:val="00C21EC0"/>
    <w:rsid w:val="00C24D5F"/>
    <w:rsid w:val="00C25D82"/>
    <w:rsid w:val="00C26360"/>
    <w:rsid w:val="00C301C8"/>
    <w:rsid w:val="00C30647"/>
    <w:rsid w:val="00C31BA7"/>
    <w:rsid w:val="00C31BD9"/>
    <w:rsid w:val="00C322B4"/>
    <w:rsid w:val="00C33020"/>
    <w:rsid w:val="00C334FB"/>
    <w:rsid w:val="00C34A03"/>
    <w:rsid w:val="00C36A4A"/>
    <w:rsid w:val="00C37A23"/>
    <w:rsid w:val="00C400B2"/>
    <w:rsid w:val="00C4059B"/>
    <w:rsid w:val="00C4186C"/>
    <w:rsid w:val="00C42A1B"/>
    <w:rsid w:val="00C42B23"/>
    <w:rsid w:val="00C44114"/>
    <w:rsid w:val="00C4498E"/>
    <w:rsid w:val="00C44DDC"/>
    <w:rsid w:val="00C46C58"/>
    <w:rsid w:val="00C47FC2"/>
    <w:rsid w:val="00C50891"/>
    <w:rsid w:val="00C56008"/>
    <w:rsid w:val="00C56F80"/>
    <w:rsid w:val="00C57558"/>
    <w:rsid w:val="00C61388"/>
    <w:rsid w:val="00C61758"/>
    <w:rsid w:val="00C63B38"/>
    <w:rsid w:val="00C63C08"/>
    <w:rsid w:val="00C65DA8"/>
    <w:rsid w:val="00C668D4"/>
    <w:rsid w:val="00C669DC"/>
    <w:rsid w:val="00C717C0"/>
    <w:rsid w:val="00C71D5C"/>
    <w:rsid w:val="00C7496B"/>
    <w:rsid w:val="00C80097"/>
    <w:rsid w:val="00C82426"/>
    <w:rsid w:val="00C84436"/>
    <w:rsid w:val="00C84439"/>
    <w:rsid w:val="00C84639"/>
    <w:rsid w:val="00C85E26"/>
    <w:rsid w:val="00C919AF"/>
    <w:rsid w:val="00C91C22"/>
    <w:rsid w:val="00C91F6C"/>
    <w:rsid w:val="00CA0310"/>
    <w:rsid w:val="00CA1ABE"/>
    <w:rsid w:val="00CA7EF3"/>
    <w:rsid w:val="00CB498E"/>
    <w:rsid w:val="00CB51B2"/>
    <w:rsid w:val="00CB538D"/>
    <w:rsid w:val="00CB539F"/>
    <w:rsid w:val="00CB79A9"/>
    <w:rsid w:val="00CC2526"/>
    <w:rsid w:val="00CC26A7"/>
    <w:rsid w:val="00CC3BF0"/>
    <w:rsid w:val="00CC462B"/>
    <w:rsid w:val="00CC4A96"/>
    <w:rsid w:val="00CC59B6"/>
    <w:rsid w:val="00CC76AE"/>
    <w:rsid w:val="00CD14D8"/>
    <w:rsid w:val="00CD22B8"/>
    <w:rsid w:val="00CD34D6"/>
    <w:rsid w:val="00CD5B00"/>
    <w:rsid w:val="00CD68C8"/>
    <w:rsid w:val="00CE0953"/>
    <w:rsid w:val="00CE21E4"/>
    <w:rsid w:val="00CE43A6"/>
    <w:rsid w:val="00CE4BA6"/>
    <w:rsid w:val="00CF2CCA"/>
    <w:rsid w:val="00CF54AF"/>
    <w:rsid w:val="00CF7252"/>
    <w:rsid w:val="00CF7B4B"/>
    <w:rsid w:val="00D10D4F"/>
    <w:rsid w:val="00D1104A"/>
    <w:rsid w:val="00D148B9"/>
    <w:rsid w:val="00D1570B"/>
    <w:rsid w:val="00D15956"/>
    <w:rsid w:val="00D226C3"/>
    <w:rsid w:val="00D23E26"/>
    <w:rsid w:val="00D312AD"/>
    <w:rsid w:val="00D31327"/>
    <w:rsid w:val="00D318FE"/>
    <w:rsid w:val="00D319A6"/>
    <w:rsid w:val="00D31E2E"/>
    <w:rsid w:val="00D31F49"/>
    <w:rsid w:val="00D345E2"/>
    <w:rsid w:val="00D363DE"/>
    <w:rsid w:val="00D36792"/>
    <w:rsid w:val="00D37FBB"/>
    <w:rsid w:val="00D40B20"/>
    <w:rsid w:val="00D428D4"/>
    <w:rsid w:val="00D43598"/>
    <w:rsid w:val="00D4387D"/>
    <w:rsid w:val="00D44214"/>
    <w:rsid w:val="00D467CA"/>
    <w:rsid w:val="00D50BEC"/>
    <w:rsid w:val="00D50FA5"/>
    <w:rsid w:val="00D5481B"/>
    <w:rsid w:val="00D54885"/>
    <w:rsid w:val="00D55CE6"/>
    <w:rsid w:val="00D5619D"/>
    <w:rsid w:val="00D60F60"/>
    <w:rsid w:val="00D6156B"/>
    <w:rsid w:val="00D61822"/>
    <w:rsid w:val="00D63046"/>
    <w:rsid w:val="00D652DD"/>
    <w:rsid w:val="00D66675"/>
    <w:rsid w:val="00D66C67"/>
    <w:rsid w:val="00D66D34"/>
    <w:rsid w:val="00D67B03"/>
    <w:rsid w:val="00D67FDE"/>
    <w:rsid w:val="00D71F73"/>
    <w:rsid w:val="00D74698"/>
    <w:rsid w:val="00D7553D"/>
    <w:rsid w:val="00D75EAC"/>
    <w:rsid w:val="00D77222"/>
    <w:rsid w:val="00D826F9"/>
    <w:rsid w:val="00D8619A"/>
    <w:rsid w:val="00D86EEA"/>
    <w:rsid w:val="00D87446"/>
    <w:rsid w:val="00D920AE"/>
    <w:rsid w:val="00D926F7"/>
    <w:rsid w:val="00D934E3"/>
    <w:rsid w:val="00DA1DF6"/>
    <w:rsid w:val="00DA2B77"/>
    <w:rsid w:val="00DA67B6"/>
    <w:rsid w:val="00DB0046"/>
    <w:rsid w:val="00DB22E2"/>
    <w:rsid w:val="00DB2A3F"/>
    <w:rsid w:val="00DB2C33"/>
    <w:rsid w:val="00DB3394"/>
    <w:rsid w:val="00DB37FD"/>
    <w:rsid w:val="00DB4644"/>
    <w:rsid w:val="00DB6707"/>
    <w:rsid w:val="00DB6A40"/>
    <w:rsid w:val="00DB72D8"/>
    <w:rsid w:val="00DB7C4C"/>
    <w:rsid w:val="00DC0B63"/>
    <w:rsid w:val="00DC3569"/>
    <w:rsid w:val="00DC3B9E"/>
    <w:rsid w:val="00DC3BE4"/>
    <w:rsid w:val="00DC595F"/>
    <w:rsid w:val="00DC79AE"/>
    <w:rsid w:val="00DD1645"/>
    <w:rsid w:val="00DD1859"/>
    <w:rsid w:val="00DD1B37"/>
    <w:rsid w:val="00DD3165"/>
    <w:rsid w:val="00DD3C61"/>
    <w:rsid w:val="00DD5841"/>
    <w:rsid w:val="00DD6B26"/>
    <w:rsid w:val="00DE03D9"/>
    <w:rsid w:val="00DE3169"/>
    <w:rsid w:val="00DE4AE4"/>
    <w:rsid w:val="00DE6FFB"/>
    <w:rsid w:val="00DF3D6F"/>
    <w:rsid w:val="00DF76C2"/>
    <w:rsid w:val="00E0158E"/>
    <w:rsid w:val="00E01930"/>
    <w:rsid w:val="00E0207B"/>
    <w:rsid w:val="00E02A2F"/>
    <w:rsid w:val="00E073BA"/>
    <w:rsid w:val="00E115AC"/>
    <w:rsid w:val="00E11F2E"/>
    <w:rsid w:val="00E12BEC"/>
    <w:rsid w:val="00E139CB"/>
    <w:rsid w:val="00E14CCD"/>
    <w:rsid w:val="00E152C5"/>
    <w:rsid w:val="00E17E53"/>
    <w:rsid w:val="00E2009B"/>
    <w:rsid w:val="00E20BDE"/>
    <w:rsid w:val="00E20F9B"/>
    <w:rsid w:val="00E210F5"/>
    <w:rsid w:val="00E215C8"/>
    <w:rsid w:val="00E23FC0"/>
    <w:rsid w:val="00E2411C"/>
    <w:rsid w:val="00E25446"/>
    <w:rsid w:val="00E263F5"/>
    <w:rsid w:val="00E26747"/>
    <w:rsid w:val="00E30288"/>
    <w:rsid w:val="00E314C1"/>
    <w:rsid w:val="00E317DF"/>
    <w:rsid w:val="00E33B45"/>
    <w:rsid w:val="00E3538B"/>
    <w:rsid w:val="00E353E5"/>
    <w:rsid w:val="00E357EE"/>
    <w:rsid w:val="00E3771E"/>
    <w:rsid w:val="00E37841"/>
    <w:rsid w:val="00E40BD0"/>
    <w:rsid w:val="00E42942"/>
    <w:rsid w:val="00E44E07"/>
    <w:rsid w:val="00E4611D"/>
    <w:rsid w:val="00E4793B"/>
    <w:rsid w:val="00E507D9"/>
    <w:rsid w:val="00E50994"/>
    <w:rsid w:val="00E51AEC"/>
    <w:rsid w:val="00E52033"/>
    <w:rsid w:val="00E520CE"/>
    <w:rsid w:val="00E5234E"/>
    <w:rsid w:val="00E55C8A"/>
    <w:rsid w:val="00E56779"/>
    <w:rsid w:val="00E56C87"/>
    <w:rsid w:val="00E57159"/>
    <w:rsid w:val="00E572C4"/>
    <w:rsid w:val="00E6019E"/>
    <w:rsid w:val="00E64280"/>
    <w:rsid w:val="00E64612"/>
    <w:rsid w:val="00E66A98"/>
    <w:rsid w:val="00E670E3"/>
    <w:rsid w:val="00E672EC"/>
    <w:rsid w:val="00E678F7"/>
    <w:rsid w:val="00E736D1"/>
    <w:rsid w:val="00E73B1F"/>
    <w:rsid w:val="00E74E63"/>
    <w:rsid w:val="00E779B7"/>
    <w:rsid w:val="00E77A79"/>
    <w:rsid w:val="00E81BF5"/>
    <w:rsid w:val="00E82ACB"/>
    <w:rsid w:val="00E82ADC"/>
    <w:rsid w:val="00E846A3"/>
    <w:rsid w:val="00E877AE"/>
    <w:rsid w:val="00E900C4"/>
    <w:rsid w:val="00E92762"/>
    <w:rsid w:val="00E92B9C"/>
    <w:rsid w:val="00E9536D"/>
    <w:rsid w:val="00E96044"/>
    <w:rsid w:val="00E96A34"/>
    <w:rsid w:val="00E97769"/>
    <w:rsid w:val="00E97D58"/>
    <w:rsid w:val="00EA031E"/>
    <w:rsid w:val="00EA086F"/>
    <w:rsid w:val="00EA0FD5"/>
    <w:rsid w:val="00EA34D1"/>
    <w:rsid w:val="00EA37AC"/>
    <w:rsid w:val="00EA6959"/>
    <w:rsid w:val="00EB03E4"/>
    <w:rsid w:val="00EB0990"/>
    <w:rsid w:val="00EB2532"/>
    <w:rsid w:val="00EB341D"/>
    <w:rsid w:val="00EB58A5"/>
    <w:rsid w:val="00EB62B8"/>
    <w:rsid w:val="00EB78D8"/>
    <w:rsid w:val="00EC08ED"/>
    <w:rsid w:val="00EC0EC0"/>
    <w:rsid w:val="00EC1BCA"/>
    <w:rsid w:val="00EC20F5"/>
    <w:rsid w:val="00EC61C9"/>
    <w:rsid w:val="00ED039D"/>
    <w:rsid w:val="00ED1613"/>
    <w:rsid w:val="00ED2A9C"/>
    <w:rsid w:val="00ED5D6B"/>
    <w:rsid w:val="00EE52DF"/>
    <w:rsid w:val="00EF0908"/>
    <w:rsid w:val="00EF1700"/>
    <w:rsid w:val="00EF1944"/>
    <w:rsid w:val="00EF529C"/>
    <w:rsid w:val="00EF5A18"/>
    <w:rsid w:val="00EF5CE1"/>
    <w:rsid w:val="00F00B41"/>
    <w:rsid w:val="00F01B5B"/>
    <w:rsid w:val="00F04E67"/>
    <w:rsid w:val="00F058A4"/>
    <w:rsid w:val="00F15F18"/>
    <w:rsid w:val="00F17BDF"/>
    <w:rsid w:val="00F225A3"/>
    <w:rsid w:val="00F236A2"/>
    <w:rsid w:val="00F3006C"/>
    <w:rsid w:val="00F31104"/>
    <w:rsid w:val="00F31E50"/>
    <w:rsid w:val="00F33EE6"/>
    <w:rsid w:val="00F34A58"/>
    <w:rsid w:val="00F35956"/>
    <w:rsid w:val="00F35C6D"/>
    <w:rsid w:val="00F36E38"/>
    <w:rsid w:val="00F40600"/>
    <w:rsid w:val="00F4077C"/>
    <w:rsid w:val="00F4141C"/>
    <w:rsid w:val="00F42DC5"/>
    <w:rsid w:val="00F43E46"/>
    <w:rsid w:val="00F453D5"/>
    <w:rsid w:val="00F45A2D"/>
    <w:rsid w:val="00F474A5"/>
    <w:rsid w:val="00F50C8A"/>
    <w:rsid w:val="00F52527"/>
    <w:rsid w:val="00F5532E"/>
    <w:rsid w:val="00F55D61"/>
    <w:rsid w:val="00F56A15"/>
    <w:rsid w:val="00F56CA0"/>
    <w:rsid w:val="00F629D9"/>
    <w:rsid w:val="00F63822"/>
    <w:rsid w:val="00F638D4"/>
    <w:rsid w:val="00F63F77"/>
    <w:rsid w:val="00F65653"/>
    <w:rsid w:val="00F674B9"/>
    <w:rsid w:val="00F70148"/>
    <w:rsid w:val="00F70A0E"/>
    <w:rsid w:val="00F713CF"/>
    <w:rsid w:val="00F718DB"/>
    <w:rsid w:val="00F7278A"/>
    <w:rsid w:val="00F72A2B"/>
    <w:rsid w:val="00F73FAF"/>
    <w:rsid w:val="00F74BA4"/>
    <w:rsid w:val="00F75211"/>
    <w:rsid w:val="00F76322"/>
    <w:rsid w:val="00F80D47"/>
    <w:rsid w:val="00F819F8"/>
    <w:rsid w:val="00F82943"/>
    <w:rsid w:val="00F83F22"/>
    <w:rsid w:val="00F86DDB"/>
    <w:rsid w:val="00F8714D"/>
    <w:rsid w:val="00F90090"/>
    <w:rsid w:val="00F928E5"/>
    <w:rsid w:val="00F933B1"/>
    <w:rsid w:val="00F93A1F"/>
    <w:rsid w:val="00F95946"/>
    <w:rsid w:val="00F966C5"/>
    <w:rsid w:val="00F973BC"/>
    <w:rsid w:val="00F97928"/>
    <w:rsid w:val="00F97C14"/>
    <w:rsid w:val="00FA17E4"/>
    <w:rsid w:val="00FA3597"/>
    <w:rsid w:val="00FA6976"/>
    <w:rsid w:val="00FA7929"/>
    <w:rsid w:val="00FB2271"/>
    <w:rsid w:val="00FB2E05"/>
    <w:rsid w:val="00FB3AA2"/>
    <w:rsid w:val="00FB4C3F"/>
    <w:rsid w:val="00FC0584"/>
    <w:rsid w:val="00FC0605"/>
    <w:rsid w:val="00FC3FF1"/>
    <w:rsid w:val="00FC61AD"/>
    <w:rsid w:val="00FC707F"/>
    <w:rsid w:val="00FC7686"/>
    <w:rsid w:val="00FD05D9"/>
    <w:rsid w:val="00FD0AA4"/>
    <w:rsid w:val="00FD121D"/>
    <w:rsid w:val="00FD3179"/>
    <w:rsid w:val="00FD35DF"/>
    <w:rsid w:val="00FD49BE"/>
    <w:rsid w:val="00FD68CD"/>
    <w:rsid w:val="00FE197B"/>
    <w:rsid w:val="00FE2E9A"/>
    <w:rsid w:val="00FE34E4"/>
    <w:rsid w:val="00FE4D0B"/>
    <w:rsid w:val="00FE7391"/>
    <w:rsid w:val="00FF04B9"/>
    <w:rsid w:val="00FF39C1"/>
    <w:rsid w:val="00FF5104"/>
    <w:rsid w:val="00FF596C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91EF"/>
  <w15:docId w15:val="{985AD939-374F-4306-BDC2-01C199A5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61"/>
    <w:pPr>
      <w:spacing w:after="0" w:line="240" w:lineRule="auto"/>
      <w:jc w:val="both"/>
    </w:pPr>
    <w:rPr>
      <w:rFonts w:ascii="Times New Roman" w:eastAsiaTheme="minorEastAsia" w:hAnsi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BA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4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7769"/>
    <w:pPr>
      <w:ind w:left="720"/>
      <w:contextualSpacing/>
    </w:pPr>
    <w:rPr>
      <w:rFonts w:eastAsiaTheme="minorHAnsi"/>
      <w:sz w:val="16"/>
      <w:szCs w:val="22"/>
      <w:lang w:eastAsia="en-US"/>
    </w:rPr>
  </w:style>
  <w:style w:type="paragraph" w:customStyle="1" w:styleId="Default">
    <w:name w:val="Default"/>
    <w:rsid w:val="00D4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8CD"/>
    <w:pPr>
      <w:spacing w:before="100" w:beforeAutospacing="1" w:after="100" w:afterAutospacing="1"/>
    </w:pPr>
    <w:rPr>
      <w:rFonts w:cs="Times New Roman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E1C"/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E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5E1C"/>
    <w:rPr>
      <w:vertAlign w:val="superscript"/>
    </w:rPr>
  </w:style>
  <w:style w:type="table" w:styleId="Cuadrculaclara-nfasis1">
    <w:name w:val="Light Grid Accent 1"/>
    <w:basedOn w:val="Tablanormal"/>
    <w:uiPriority w:val="62"/>
    <w:rsid w:val="000B5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0B5E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nespaciado">
    <w:name w:val="No Spacing"/>
    <w:link w:val="SinespaciadoCar"/>
    <w:uiPriority w:val="1"/>
    <w:qFormat/>
    <w:rsid w:val="000B5E1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B5E1C"/>
  </w:style>
  <w:style w:type="paragraph" w:styleId="Ttulo">
    <w:name w:val="Title"/>
    <w:basedOn w:val="Normal"/>
    <w:next w:val="Normal"/>
    <w:link w:val="TtuloCar"/>
    <w:uiPriority w:val="10"/>
    <w:qFormat/>
    <w:rsid w:val="0032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32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GT"/>
    </w:rPr>
  </w:style>
  <w:style w:type="paragraph" w:styleId="Subttulo">
    <w:name w:val="Subtitle"/>
    <w:basedOn w:val="Normal"/>
    <w:next w:val="Normal"/>
    <w:link w:val="SubttuloCar"/>
    <w:uiPriority w:val="11"/>
    <w:qFormat/>
    <w:rsid w:val="003258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s-GT"/>
    </w:rPr>
  </w:style>
  <w:style w:type="character" w:customStyle="1" w:styleId="SubttuloCar">
    <w:name w:val="Subtítulo Car"/>
    <w:basedOn w:val="Fuentedeprrafopredeter"/>
    <w:link w:val="Subttulo"/>
    <w:uiPriority w:val="11"/>
    <w:rsid w:val="00325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32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2588B"/>
    <w:pPr>
      <w:spacing w:line="276" w:lineRule="auto"/>
      <w:outlineLvl w:val="9"/>
    </w:pPr>
    <w:rPr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rsid w:val="00594050"/>
    <w:pPr>
      <w:tabs>
        <w:tab w:val="left" w:pos="440"/>
        <w:tab w:val="right" w:leader="dot" w:pos="9394"/>
      </w:tabs>
      <w:spacing w:after="100"/>
    </w:pPr>
    <w:rPr>
      <w:rFonts w:eastAsiaTheme="majorEastAsia" w:cs="Times New Roman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4409D"/>
    <w:pPr>
      <w:tabs>
        <w:tab w:val="left" w:pos="880"/>
        <w:tab w:val="right" w:leader="dot" w:pos="9356"/>
      </w:tabs>
      <w:spacing w:after="100"/>
      <w:ind w:left="709" w:hanging="567"/>
    </w:pPr>
  </w:style>
  <w:style w:type="character" w:styleId="Hipervnculo">
    <w:name w:val="Hyperlink"/>
    <w:basedOn w:val="Fuentedeprrafopredeter"/>
    <w:uiPriority w:val="99"/>
    <w:unhideWhenUsed/>
    <w:rsid w:val="003258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3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4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customStyle="1" w:styleId="Ttulo11">
    <w:name w:val="Título 11"/>
    <w:basedOn w:val="Normal"/>
    <w:rsid w:val="000C0470"/>
    <w:pPr>
      <w:numPr>
        <w:numId w:val="23"/>
      </w:numPr>
    </w:pPr>
  </w:style>
  <w:style w:type="paragraph" w:customStyle="1" w:styleId="Ttulo21">
    <w:name w:val="Título 21"/>
    <w:basedOn w:val="Normal"/>
    <w:rsid w:val="000C0470"/>
    <w:pPr>
      <w:numPr>
        <w:ilvl w:val="1"/>
        <w:numId w:val="23"/>
      </w:numPr>
    </w:pPr>
  </w:style>
  <w:style w:type="paragraph" w:customStyle="1" w:styleId="Ttulo31">
    <w:name w:val="Título 31"/>
    <w:basedOn w:val="Normal"/>
    <w:rsid w:val="000C0470"/>
    <w:pPr>
      <w:numPr>
        <w:ilvl w:val="2"/>
        <w:numId w:val="23"/>
      </w:numPr>
    </w:pPr>
  </w:style>
  <w:style w:type="paragraph" w:customStyle="1" w:styleId="Ttulo41">
    <w:name w:val="Título 41"/>
    <w:basedOn w:val="Normal"/>
    <w:rsid w:val="000C0470"/>
    <w:pPr>
      <w:numPr>
        <w:ilvl w:val="3"/>
        <w:numId w:val="23"/>
      </w:numPr>
    </w:pPr>
  </w:style>
  <w:style w:type="paragraph" w:customStyle="1" w:styleId="Ttulo51">
    <w:name w:val="Título 51"/>
    <w:basedOn w:val="Normal"/>
    <w:rsid w:val="000C0470"/>
    <w:pPr>
      <w:numPr>
        <w:ilvl w:val="4"/>
        <w:numId w:val="23"/>
      </w:numPr>
    </w:pPr>
  </w:style>
  <w:style w:type="paragraph" w:customStyle="1" w:styleId="Ttulo61">
    <w:name w:val="Título 61"/>
    <w:basedOn w:val="Normal"/>
    <w:rsid w:val="000C0470"/>
    <w:pPr>
      <w:numPr>
        <w:ilvl w:val="5"/>
        <w:numId w:val="23"/>
      </w:numPr>
    </w:pPr>
  </w:style>
  <w:style w:type="paragraph" w:customStyle="1" w:styleId="Ttulo71">
    <w:name w:val="Título 71"/>
    <w:basedOn w:val="Normal"/>
    <w:rsid w:val="000C0470"/>
    <w:pPr>
      <w:numPr>
        <w:ilvl w:val="6"/>
        <w:numId w:val="23"/>
      </w:numPr>
    </w:pPr>
  </w:style>
  <w:style w:type="paragraph" w:customStyle="1" w:styleId="Ttulo81">
    <w:name w:val="Título 81"/>
    <w:basedOn w:val="Normal"/>
    <w:rsid w:val="000C0470"/>
    <w:pPr>
      <w:numPr>
        <w:ilvl w:val="7"/>
        <w:numId w:val="23"/>
      </w:numPr>
    </w:pPr>
  </w:style>
  <w:style w:type="paragraph" w:customStyle="1" w:styleId="Ttulo91">
    <w:name w:val="Título 91"/>
    <w:basedOn w:val="Normal"/>
    <w:rsid w:val="000C0470"/>
    <w:pPr>
      <w:numPr>
        <w:ilvl w:val="8"/>
        <w:numId w:val="23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54409D"/>
    <w:pPr>
      <w:tabs>
        <w:tab w:val="left" w:pos="1134"/>
        <w:tab w:val="right" w:leader="dot" w:pos="9394"/>
      </w:tabs>
      <w:spacing w:after="100"/>
      <w:ind w:left="1134" w:hanging="708"/>
    </w:pPr>
  </w:style>
  <w:style w:type="paragraph" w:customStyle="1" w:styleId="BodyText2Sgl">
    <w:name w:val="Body Text 2 Sgl"/>
    <w:basedOn w:val="Normal"/>
    <w:qFormat/>
    <w:rsid w:val="00EE52DF"/>
    <w:pPr>
      <w:spacing w:after="240"/>
      <w:ind w:firstLine="720"/>
    </w:pPr>
    <w:rPr>
      <w:rFonts w:eastAsiaTheme="minorHAnsi"/>
      <w:sz w:val="20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52DF"/>
    <w:pPr>
      <w:spacing w:after="120" w:line="259" w:lineRule="auto"/>
    </w:pPr>
    <w:rPr>
      <w:rFonts w:eastAsiaTheme="minorHAnsi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2DF"/>
  </w:style>
  <w:style w:type="character" w:styleId="Refdecomentario">
    <w:name w:val="annotation reference"/>
    <w:basedOn w:val="Fuentedeprrafopredeter"/>
    <w:uiPriority w:val="99"/>
    <w:semiHidden/>
    <w:unhideWhenUsed/>
    <w:rsid w:val="00082E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2E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2E65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E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E65"/>
    <w:rPr>
      <w:rFonts w:eastAsiaTheme="minorEastAsia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5440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table" w:styleId="Tablanormal3">
    <w:name w:val="Plain Table 3"/>
    <w:basedOn w:val="Tablanormal"/>
    <w:uiPriority w:val="43"/>
    <w:rsid w:val="00FD31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D31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0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Layout" Target="diagrams/layout2.xml"/><Relationship Id="rId26" Type="http://schemas.openxmlformats.org/officeDocument/2006/relationships/footer" Target="footer2.xml"/><Relationship Id="rId39" Type="http://schemas.openxmlformats.org/officeDocument/2006/relationships/diagramColors" Target="diagrams/colors4.xml"/><Relationship Id="rId21" Type="http://schemas.microsoft.com/office/2007/relationships/diagramDrawing" Target="diagrams/drawing2.xml"/><Relationship Id="rId34" Type="http://schemas.openxmlformats.org/officeDocument/2006/relationships/chart" Target="charts/chart7.xml"/><Relationship Id="rId42" Type="http://schemas.openxmlformats.org/officeDocument/2006/relationships/image" Target="media/image3.png"/><Relationship Id="rId47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diagramLayout" Target="diagrams/layout3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32" Type="http://schemas.microsoft.com/office/2007/relationships/diagramDrawing" Target="diagrams/drawing3.xml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1.xml"/><Relationship Id="rId28" Type="http://schemas.openxmlformats.org/officeDocument/2006/relationships/diagramData" Target="diagrams/data3.xml"/><Relationship Id="rId36" Type="http://schemas.openxmlformats.org/officeDocument/2006/relationships/diagramData" Target="diagrams/data4.xml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31" Type="http://schemas.openxmlformats.org/officeDocument/2006/relationships/diagramColors" Target="diagrams/colors3.xml"/><Relationship Id="rId44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4.xml"/><Relationship Id="rId27" Type="http://schemas.openxmlformats.org/officeDocument/2006/relationships/chart" Target="charts/chart5.xml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8.xml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header" Target="header2.xml"/><Relationship Id="rId33" Type="http://schemas.openxmlformats.org/officeDocument/2006/relationships/chart" Target="charts/chart6.xml"/><Relationship Id="rId38" Type="http://schemas.openxmlformats.org/officeDocument/2006/relationships/diagramQuickStyle" Target="diagrams/quickStyle4.xml"/><Relationship Id="rId46" Type="http://schemas.openxmlformats.org/officeDocument/2006/relationships/diagramColors" Target="diagrams/colors5.xml"/><Relationship Id="rId20" Type="http://schemas.openxmlformats.org/officeDocument/2006/relationships/diagramColors" Target="diagrams/colors2.xml"/><Relationship Id="rId41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39d125cae53b6db/Temporal/MEFP%20Informe%20mensual/Para%20Gr&#225;fica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050" b="1">
                <a:solidFill>
                  <a:sysClr val="windowText" lastClr="000000"/>
                </a:solidFill>
              </a:rPr>
              <a:t>Ingresos Totales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900" b="1">
                <a:solidFill>
                  <a:sysClr val="windowText" lastClr="000000"/>
                </a:solidFill>
              </a:rPr>
              <a:t>Variación interanual acumulada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900" b="0">
                <a:solidFill>
                  <a:sysClr val="windowText" lastClr="000000"/>
                </a:solidFill>
              </a:rPr>
              <a:t>En porcentajes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3819942502492466"/>
          <c:w val="1"/>
          <c:h val="0.5184230971128608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'[Para Gráficas.xlsx]Ingresos totales'!$A$20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accent5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Gráficas.xlsx]Ingresos totales'!$B$15:$M$15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'[Para Gráficas.xlsx]Ingresos totales'!$P$20:$R$20</c:f>
              <c:numCache>
                <c:formatCode>#,##0.0_ ;[Red]\-#,##0.0\ </c:formatCode>
                <c:ptCount val="3"/>
                <c:pt idx="0">
                  <c:v>8.5876671903961856</c:v>
                </c:pt>
                <c:pt idx="1">
                  <c:v>6.9151007381854646</c:v>
                </c:pt>
                <c:pt idx="2">
                  <c:v>3.7816654527514038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A-42E8-A715-1EDFD92D481F}"/>
            </c:ext>
          </c:extLst>
        </c:ser>
        <c:ser>
          <c:idx val="0"/>
          <c:order val="2"/>
          <c:tx>
            <c:strRef>
              <c:f>'[Para Gráficas.xlsx]Ingresos totales'!$A$21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accent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Gráficas.xlsx]Ingresos totales'!$B$15:$M$15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'[Para Gráficas.xlsx]Ingresos totales'!$P$21:$R$21</c:f>
              <c:numCache>
                <c:formatCode>#,##0.0_ ;[Red]\-#,##0.0\ </c:formatCode>
                <c:ptCount val="3"/>
                <c:pt idx="0">
                  <c:v>4.8853755999521908</c:v>
                </c:pt>
                <c:pt idx="1">
                  <c:v>4.216846350623138</c:v>
                </c:pt>
                <c:pt idx="2">
                  <c:v>4.9725547058533381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A-42E8-A715-1EDFD92D4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281743"/>
        <c:axId val="344873055"/>
      </c:barChart>
      <c:lineChart>
        <c:grouping val="standard"/>
        <c:varyColors val="0"/>
        <c:ser>
          <c:idx val="2"/>
          <c:order val="0"/>
          <c:tx>
            <c:strRef>
              <c:f>'[Para Gráficas.xlsx]Ingresos totales'!$A$22</c:f>
              <c:strCache>
                <c:ptCount val="1"/>
                <c:pt idx="0">
                  <c:v>2020*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8.458361808461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BA-42E8-A715-1EDFD92D481F}"/>
                </c:ext>
              </c:extLst>
            </c:dLbl>
            <c:dLbl>
              <c:idx val="1"/>
              <c:layout>
                <c:manualLayout>
                  <c:x val="-1.0361899736619405E-16"/>
                  <c:y val="-6.1088168616665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BA-42E8-A715-1EDFD92D481F}"/>
                </c:ext>
              </c:extLst>
            </c:dLbl>
            <c:dLbl>
              <c:idx val="2"/>
              <c:layout>
                <c:manualLayout>
                  <c:x val="0"/>
                  <c:y val="-5.1689988829486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BA-42E8-A715-1EDFD92D481F}"/>
                </c:ext>
              </c:extLst>
            </c:dLbl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Gráficas.xlsx]Ingresos totales'!$B$15:$M$15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'[Para Gráficas.xlsx]Ingresos totales'!$P$22:$R$22</c:f>
              <c:numCache>
                <c:formatCode>#,##0.0_ ;[Red]\-#,##0.0\ </c:formatCode>
                <c:ptCount val="3"/>
                <c:pt idx="0">
                  <c:v>10.275300030483049</c:v>
                </c:pt>
                <c:pt idx="1">
                  <c:v>9.7649521452693797</c:v>
                </c:pt>
                <c:pt idx="2">
                  <c:v>-2.8692785178763391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04BA-42E8-A715-1EDFD92D4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none"/>
        <c:minorTickMark val="none"/>
        <c:tickLblPos val="nextTo"/>
        <c:crossAx val="1509281743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012277372727042"/>
          <c:y val="0.26116062370978604"/>
          <c:w val="0.7301106317187751"/>
          <c:h val="8.9222324894304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Ingresos Totales por Tipo</a:t>
            </a:r>
          </a:p>
          <a:p>
            <a:pPr>
              <a:defRPr/>
            </a:pPr>
            <a:r>
              <a:rPr lang="en-US" sz="1000" b="1">
                <a:solidFill>
                  <a:sysClr val="windowText" lastClr="000000"/>
                </a:solidFill>
              </a:rPr>
              <a:t>Variación interanual acumuluada a marzo 2020*</a:t>
            </a:r>
          </a:p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</a:rPr>
              <a:t>En porcentaje</a:t>
            </a:r>
          </a:p>
        </c:rich>
      </c:tx>
      <c:layout>
        <c:manualLayout>
          <c:xMode val="edge"/>
          <c:yMode val="edge"/>
          <c:x val="0.292771898296617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7.483684509630037E-2"/>
          <c:y val="0.32820681897521431"/>
          <c:w val="0.90174395115662698"/>
          <c:h val="0.53376646884656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 Acumulado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Impuestos </c:v>
                </c:pt>
                <c:pt idx="1">
                  <c:v>Contribuciones sociales </c:v>
                </c:pt>
                <c:pt idx="2">
                  <c:v>Donaciones </c:v>
                </c:pt>
                <c:pt idx="3">
                  <c:v>Otros ingresos </c:v>
                </c:pt>
              </c:strCache>
            </c:strRef>
          </c:cat>
          <c:val>
            <c:numRef>
              <c:f>Hoja1!$B$2:$B$5</c:f>
              <c:numCache>
                <c:formatCode>#,##0.0_ ;[Red]\-#,##0.0\ </c:formatCode>
                <c:ptCount val="4"/>
                <c:pt idx="0">
                  <c:v>-3.808653809309881</c:v>
                </c:pt>
                <c:pt idx="1">
                  <c:v>15.10001648899415</c:v>
                </c:pt>
                <c:pt idx="2">
                  <c:v>-38.463668242553148</c:v>
                </c:pt>
                <c:pt idx="3">
                  <c:v>6.7155025008338587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C0504D"/>
                  </a:solidFill>
                  <a:ln>
                    <a:noFill/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0-4417-4010-977A-878E157F7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axId val="415018800"/>
        <c:axId val="408568416"/>
      </c:barChart>
      <c:catAx>
        <c:axId val="41501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08568416"/>
        <c:crosses val="autoZero"/>
        <c:auto val="1"/>
        <c:lblAlgn val="ctr"/>
        <c:lblOffset val="100"/>
        <c:noMultiLvlLbl val="0"/>
      </c:catAx>
      <c:valAx>
        <c:axId val="408568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 ;[Red]\-#,##0.0\ " sourceLinked="1"/>
        <c:majorTickMark val="none"/>
        <c:minorTickMark val="none"/>
        <c:tickLblPos val="nextTo"/>
        <c:crossAx val="4150188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400" b="1" i="0" baseline="0">
                <a:solidFill>
                  <a:sysClr val="windowText" lastClr="000000"/>
                </a:solidFill>
                <a:effectLst/>
              </a:rPr>
              <a:t>Ingresos por Impuestos</a:t>
            </a: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1100" b="1" i="0" baseline="0">
                <a:solidFill>
                  <a:sysClr val="windowText" lastClr="000000"/>
                </a:solidFill>
                <a:effectLst/>
              </a:rPr>
              <a:t>Variación interanual acumulada a marzo* </a:t>
            </a:r>
            <a:endParaRPr lang="es-GT" sz="1050" b="1">
              <a:solidFill>
                <a:sysClr val="windowText" lastClr="000000"/>
              </a:solidFill>
              <a:effectLst/>
            </a:endParaRP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1100" b="0" i="0" baseline="0">
                <a:solidFill>
                  <a:sysClr val="windowText" lastClr="000000"/>
                </a:solidFill>
                <a:effectLst/>
              </a:rPr>
              <a:t>En porcentajes</a:t>
            </a:r>
            <a:endParaRPr lang="es-GT" sz="1050" b="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7886475208890074"/>
          <c:y val="9.444447129873419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51478982852111388"/>
          <c:y val="0.18751373812499059"/>
          <c:w val="0.44890356693147837"/>
          <c:h val="0.776813557961086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'[Para Gráficas.xlsx]Ingresos desglozados'!$J$3:$N$3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Gráficas.xlsx]Ingresos desglozados'!$I$5:$I$89</c:f>
              <c:strCache>
                <c:ptCount val="6"/>
                <c:pt idx="0">
                  <c:v>Impuestos sobre la propiedad </c:v>
                </c:pt>
                <c:pt idx="1">
                  <c:v>Otros impuestos </c:v>
                </c:pt>
                <c:pt idx="2">
                  <c:v>Impuestos sobre el ingreso, las utilidades y las ganancias de capital </c:v>
                </c:pt>
                <c:pt idx="3">
                  <c:v>Impuestos sobre los bienes y servicios </c:v>
                </c:pt>
                <c:pt idx="4">
                  <c:v>Impuestos sobre el comercio y las transacciones internacionales </c:v>
                </c:pt>
                <c:pt idx="5">
                  <c:v>Total Tributarios</c:v>
                </c:pt>
              </c:strCache>
            </c:strRef>
          </c:cat>
          <c:val>
            <c:numRef>
              <c:f>'[Para Gráficas.xlsx]Ingresos desglozados'!$N$5:$N$89</c:f>
              <c:numCache>
                <c:formatCode>#,##0.0_ ;[Red]\-#,##0.0\ </c:formatCode>
                <c:ptCount val="6"/>
                <c:pt idx="0">
                  <c:v>-40.902041605861264</c:v>
                </c:pt>
                <c:pt idx="1">
                  <c:v>-8.8104941000881389</c:v>
                </c:pt>
                <c:pt idx="2">
                  <c:v>-6.7389139146772914</c:v>
                </c:pt>
                <c:pt idx="3">
                  <c:v>-2.2548026203022209</c:v>
                </c:pt>
                <c:pt idx="4">
                  <c:v>0.51992736631094605</c:v>
                </c:pt>
                <c:pt idx="5">
                  <c:v>-3.8086538093098921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6-4841-919D-AFDFCCCEE952}"/>
            </c:ext>
          </c:extLst>
        </c:ser>
        <c:ser>
          <c:idx val="1"/>
          <c:order val="1"/>
          <c:tx>
            <c:strRef>
              <c:f>'[Para Gráficas.xlsx]Ingresos desglozados'!$O$3:$S$3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Gráficas.xlsx]Ingresos desglozados'!$I$5:$I$89</c:f>
              <c:strCache>
                <c:ptCount val="6"/>
                <c:pt idx="0">
                  <c:v>Impuestos sobre la propiedad </c:v>
                </c:pt>
                <c:pt idx="1">
                  <c:v>Otros impuestos </c:v>
                </c:pt>
                <c:pt idx="2">
                  <c:v>Impuestos sobre el ingreso, las utilidades y las ganancias de capital </c:v>
                </c:pt>
                <c:pt idx="3">
                  <c:v>Impuestos sobre los bienes y servicios </c:v>
                </c:pt>
                <c:pt idx="4">
                  <c:v>Impuestos sobre el comercio y las transacciones internacionales </c:v>
                </c:pt>
                <c:pt idx="5">
                  <c:v>Total Tributarios</c:v>
                </c:pt>
              </c:strCache>
            </c:strRef>
          </c:cat>
          <c:val>
            <c:numRef>
              <c:f>'[Para Gráficas.xlsx]Ingresos desglozados'!$S$5:$S$89</c:f>
              <c:numCache>
                <c:formatCode>#,##0.0_ ;[Red]\-#,##0.0\ </c:formatCode>
                <c:ptCount val="6"/>
                <c:pt idx="0">
                  <c:v>76.155618600728062</c:v>
                </c:pt>
                <c:pt idx="1">
                  <c:v>-6.9035505732994773</c:v>
                </c:pt>
                <c:pt idx="2">
                  <c:v>0.82670388499690439</c:v>
                </c:pt>
                <c:pt idx="3">
                  <c:v>7.454993392488074</c:v>
                </c:pt>
                <c:pt idx="4">
                  <c:v>11.84299158790003</c:v>
                </c:pt>
                <c:pt idx="5">
                  <c:v>5.0716357425765635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6-4841-919D-AFDFCCCEE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916956256"/>
        <c:axId val="1924152624"/>
      </c:barChart>
      <c:catAx>
        <c:axId val="19169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924152624"/>
        <c:crosses val="autoZero"/>
        <c:auto val="1"/>
        <c:lblAlgn val="ctr"/>
        <c:lblOffset val="100"/>
        <c:noMultiLvlLbl val="0"/>
      </c:catAx>
      <c:valAx>
        <c:axId val="1924152624"/>
        <c:scaling>
          <c:orientation val="minMax"/>
        </c:scaling>
        <c:delete val="1"/>
        <c:axPos val="b"/>
        <c:numFmt formatCode="#,##0.0_ ;[Red]\-#,##0.0\ " sourceLinked="1"/>
        <c:majorTickMark val="none"/>
        <c:minorTickMark val="none"/>
        <c:tickLblPos val="nextTo"/>
        <c:crossAx val="1916956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342542311521406"/>
          <c:y val="0.18447278220241589"/>
          <c:w val="0.16657457688478594"/>
          <c:h val="9.86583173166346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ln>
                  <a:noFill/>
                </a:ln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>
                <a:ln>
                  <a:noFill/>
                </a:ln>
                <a:solidFill>
                  <a:sysClr val="windowText" lastClr="000000"/>
                </a:solidFill>
              </a:rPr>
              <a:t>Gasto Total</a:t>
            </a:r>
          </a:p>
          <a:p>
            <a:pPr>
              <a:defRPr>
                <a:ln>
                  <a:noFill/>
                </a:ln>
              </a:defRPr>
            </a:pPr>
            <a:r>
              <a:rPr lang="en-US" sz="1050" b="1">
                <a:ln>
                  <a:noFill/>
                </a:ln>
                <a:solidFill>
                  <a:sysClr val="windowText" lastClr="000000"/>
                </a:solidFill>
              </a:rPr>
              <a:t>Variación internanual acumulada</a:t>
            </a:r>
          </a:p>
          <a:p>
            <a:pPr>
              <a:defRPr>
                <a:ln>
                  <a:noFill/>
                </a:ln>
              </a:defRPr>
            </a:pPr>
            <a:r>
              <a:rPr lang="en-US" sz="900">
                <a:ln>
                  <a:noFill/>
                </a:ln>
                <a:solidFill>
                  <a:sysClr val="windowText" lastClr="000000"/>
                </a:solidFill>
              </a:rPr>
              <a:t>En porcentaje</a:t>
            </a:r>
          </a:p>
        </c:rich>
      </c:tx>
      <c:layout>
        <c:manualLayout>
          <c:xMode val="edge"/>
          <c:yMode val="edge"/>
          <c:x val="0.1180271583699096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ln>
                <a:noFill/>
              </a:ln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944213947155464"/>
          <c:w val="1"/>
          <c:h val="0.49551887580121001"/>
        </c:manualLayout>
      </c:layout>
      <c:lineChart>
        <c:grouping val="standard"/>
        <c:varyColors val="0"/>
        <c:ser>
          <c:idx val="2"/>
          <c:order val="0"/>
          <c:tx>
            <c:strRef>
              <c:f>'[Para Gráficas.xlsx]Gasto total'!$A$22</c:f>
              <c:strCache>
                <c:ptCount val="1"/>
                <c:pt idx="0">
                  <c:v>2020*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'[Para Gráficas.xlsx]Gasto total'!$B$15:$M$15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'[Para Gráficas.xlsx]Gasto total'!$P$22:$R$22</c:f>
              <c:numCache>
                <c:formatCode>#,##0.0_ ;[Red]\-#,##0.0\ </c:formatCode>
                <c:ptCount val="3"/>
                <c:pt idx="0">
                  <c:v>4.8230780431289144</c:v>
                </c:pt>
                <c:pt idx="1">
                  <c:v>2.8507070821337299</c:v>
                </c:pt>
                <c:pt idx="2">
                  <c:v>5.1169198148192541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8BD-4B04-9DCF-BA5219E7EC2D}"/>
            </c:ext>
          </c:extLst>
        </c:ser>
        <c:ser>
          <c:idx val="0"/>
          <c:order val="1"/>
          <c:tx>
            <c:strRef>
              <c:f>'[Para Gráficas.xlsx]Gasto total'!$A$21</c:f>
              <c:strCache>
                <c:ptCount val="1"/>
                <c:pt idx="0">
                  <c:v>2019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'[Para Gráficas.xlsx]Gasto total'!$B$15:$M$15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'[Para Gráficas.xlsx]Gasto total'!$P$21:$R$21</c:f>
              <c:numCache>
                <c:formatCode>#,##0.0_ ;[Red]\-#,##0.0\ </c:formatCode>
                <c:ptCount val="3"/>
                <c:pt idx="0">
                  <c:v>20.727035221750612</c:v>
                </c:pt>
                <c:pt idx="1">
                  <c:v>14.71330419021346</c:v>
                </c:pt>
                <c:pt idx="2">
                  <c:v>14.47920137840255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BD-4B04-9DCF-BA5219E7EC2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  <c:max val="23"/>
          <c:min val="-5"/>
        </c:scaling>
        <c:delete val="1"/>
        <c:axPos val="l"/>
        <c:numFmt formatCode="#,##0_ ;[Red]\-#,##0\ " sourceLinked="0"/>
        <c:majorTickMark val="out"/>
        <c:minorTickMark val="none"/>
        <c:tickLblPos val="nextTo"/>
        <c:crossAx val="150928174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807667684729469"/>
          <c:y val="0.88355191327022131"/>
          <c:w val="0.55277125646547687"/>
          <c:h val="0.11008147962855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Gasto por</a:t>
            </a:r>
            <a:r>
              <a:rPr lang="en-US" sz="1200" baseline="0">
                <a:solidFill>
                  <a:sysClr val="windowText" lastClr="000000"/>
                </a:solidFill>
              </a:rPr>
              <a:t> clasificación MEFP</a:t>
            </a:r>
            <a:endParaRPr lang="en-US" sz="12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050">
                <a:solidFill>
                  <a:sysClr val="windowText" lastClr="000000"/>
                </a:solidFill>
              </a:rPr>
              <a:t>Variación</a:t>
            </a:r>
            <a:r>
              <a:rPr lang="en-US" sz="1050" baseline="0">
                <a:solidFill>
                  <a:sysClr val="windowText" lastClr="000000"/>
                </a:solidFill>
              </a:rPr>
              <a:t> interanual acumulada a marzo 2020*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900" b="0" baseline="0">
                <a:solidFill>
                  <a:sysClr val="windowText" lastClr="000000"/>
                </a:solidFill>
              </a:rPr>
              <a:t>En millones de Quetzales</a:t>
            </a:r>
            <a:endParaRPr lang="en-US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AD47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Gráficas.xlsx]Gastos desglozados'!$I$5:$I$35</c:f>
              <c:strCache>
                <c:ptCount val="7"/>
                <c:pt idx="0">
                  <c:v>Remuneración a los empleados </c:v>
                </c:pt>
                <c:pt idx="1">
                  <c:v>Intereses </c:v>
                </c:pt>
                <c:pt idx="2">
                  <c:v>Uso de bienes y servicios  </c:v>
                </c:pt>
                <c:pt idx="3">
                  <c:v>Subsidios </c:v>
                </c:pt>
                <c:pt idx="4">
                  <c:v>Prestaciones sociales </c:v>
                </c:pt>
                <c:pt idx="5">
                  <c:v>Otros gastos </c:v>
                </c:pt>
                <c:pt idx="6">
                  <c:v>Donaciones </c:v>
                </c:pt>
              </c:strCache>
            </c:strRef>
          </c:cat>
          <c:val>
            <c:numRef>
              <c:f>'[Para Gráficas.xlsx]Gastos desglozados'!$L$5:$L$35</c:f>
              <c:numCache>
                <c:formatCode>#,##0.0_ ;[Red]\-#,##0.0\ </c:formatCode>
                <c:ptCount val="7"/>
                <c:pt idx="0">
                  <c:v>816.22673211999972</c:v>
                </c:pt>
                <c:pt idx="1">
                  <c:v>474.39876957000001</c:v>
                </c:pt>
                <c:pt idx="2">
                  <c:v>165.83059298000012</c:v>
                </c:pt>
                <c:pt idx="3">
                  <c:v>-0.15612799999999982</c:v>
                </c:pt>
                <c:pt idx="4">
                  <c:v>-2.9243602999999894</c:v>
                </c:pt>
                <c:pt idx="5">
                  <c:v>-186.13367424000012</c:v>
                </c:pt>
                <c:pt idx="6">
                  <c:v>-455.20023809000031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0-79AA-42F7-8902-3AA428E26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96122768"/>
        <c:axId val="317412256"/>
      </c:barChart>
      <c:catAx>
        <c:axId val="596122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17412256"/>
        <c:crosses val="autoZero"/>
        <c:auto val="1"/>
        <c:lblAlgn val="ctr"/>
        <c:lblOffset val="100"/>
        <c:noMultiLvlLbl val="0"/>
      </c:catAx>
      <c:valAx>
        <c:axId val="317412256"/>
        <c:scaling>
          <c:orientation val="minMax"/>
        </c:scaling>
        <c:delete val="1"/>
        <c:axPos val="l"/>
        <c:numFmt formatCode="#,##0.0_ ;[Red]\-#,##0.0\ " sourceLinked="1"/>
        <c:majorTickMark val="none"/>
        <c:minorTickMark val="none"/>
        <c:tickLblPos val="nextTo"/>
        <c:crossAx val="5961227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6000">
              <a:schemeClr val="bg1">
                <a:lumMod val="95000"/>
              </a:schemeClr>
            </a:gs>
            <a:gs pos="100000">
              <a:schemeClr val="bg1"/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200">
                <a:solidFill>
                  <a:schemeClr val="tx1"/>
                </a:solidFill>
              </a:rPr>
              <a:t>Inversión bruta en activos no financieros</a:t>
            </a:r>
          </a:p>
          <a:p>
            <a:pPr>
              <a:defRPr/>
            </a:pPr>
            <a:r>
              <a:rPr lang="en-US" sz="1100" baseline="0">
                <a:solidFill>
                  <a:schemeClr val="tx1"/>
                </a:solidFill>
              </a:rPr>
              <a:t>Acumulado a marzo</a:t>
            </a:r>
            <a:endParaRPr lang="en-US" sz="1100">
              <a:solidFill>
                <a:schemeClr val="tx1"/>
              </a:solidFill>
            </a:endParaRPr>
          </a:p>
          <a:p>
            <a:pPr>
              <a:defRPr/>
            </a:pPr>
            <a:r>
              <a:rPr lang="en-US" sz="900" b="0">
                <a:solidFill>
                  <a:schemeClr val="tx1"/>
                </a:solidFill>
              </a:rPr>
              <a:t>En millones de Quetzales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0958127897564202"/>
          <c:w val="1"/>
          <c:h val="0.68301926832064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'Trans. desglozados'!$H$6</c:f>
              <c:strCache>
                <c:ptCount val="1"/>
                <c:pt idx="0">
                  <c:v>Inversión neta/bruta en activos no financieros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('Trans. desglozados'!$I$3,'Trans. desglozados'!$N$3,'Trans. desglozados'!$S$3,'Trans. desglozados'!$X$3,'Trans. desglozados'!$AC$3)</c:f>
              <c:strCache>
                <c:ptCount val="5"/>
                <c:pt idx="0">
                  <c:v>2020*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strCache>
            </c:strRef>
          </c:cat>
          <c:val>
            <c:numRef>
              <c:f>('Trans. desglozados'!$J$6,'Trans. desglozados'!$O$6,'Trans. desglozados'!$T$6,'Trans. desglozados'!$Y$6,'Trans. desglozados'!$AD$6)</c:f>
              <c:numCache>
                <c:formatCode>#,##0.0_ ;[Red]\-#,##0.0\ </c:formatCode>
                <c:ptCount val="5"/>
                <c:pt idx="0">
                  <c:v>204.11935751999999</c:v>
                </c:pt>
                <c:pt idx="1">
                  <c:v>626.78373311999997</c:v>
                </c:pt>
                <c:pt idx="2">
                  <c:v>97.190894950000001</c:v>
                </c:pt>
                <c:pt idx="3">
                  <c:v>69.331830570000008</c:v>
                </c:pt>
                <c:pt idx="4">
                  <c:v>10.09462598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1-44C7-96E0-50CBD3BBB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557017296"/>
        <c:axId val="470887616"/>
      </c:barChart>
      <c:catAx>
        <c:axId val="155701729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70887616"/>
        <c:crosses val="autoZero"/>
        <c:auto val="1"/>
        <c:lblAlgn val="ctr"/>
        <c:lblOffset val="100"/>
        <c:noMultiLvlLbl val="0"/>
      </c:catAx>
      <c:valAx>
        <c:axId val="470887616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 ;[Red]\-#,##0.0\ " sourceLinked="1"/>
        <c:majorTickMark val="none"/>
        <c:minorTickMark val="none"/>
        <c:tickLblPos val="nextTo"/>
        <c:crossAx val="1557017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1" i="0">
                <a:solidFill>
                  <a:schemeClr val="tx1"/>
                </a:solidFill>
              </a:rPr>
              <a:t>Monto Mensual</a:t>
            </a:r>
          </a:p>
        </c:rich>
      </c:tx>
      <c:layout>
        <c:manualLayout>
          <c:xMode val="edge"/>
          <c:yMode val="edge"/>
          <c:x val="0.28039253882327214"/>
          <c:y val="9.832841691248770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15909647036307961"/>
          <c:y val="0.1339755312843959"/>
          <c:w val="0.79316047408136481"/>
          <c:h val="0.76156252645838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5A-4516-A758-482FB494823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5A-4516-A758-482FB494823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5A-4516-A758-482FB494823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5A-4516-A758-482FB4948230}"/>
                </c:ext>
              </c:extLst>
            </c:dLbl>
            <c:numFmt formatCode="#,##0.0_ ;[Red]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Hoja1!$B$1:$E$1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</c:v>
                </c:pt>
              </c:strCache>
            </c:strRef>
          </c:cat>
          <c:val>
            <c:numRef>
              <c:f>Hoja1!$B$2:$E$2</c:f>
              <c:numCache>
                <c:formatCode>General</c:formatCode>
                <c:ptCount val="4"/>
                <c:pt idx="0">
                  <c:v>-297.44832965000001</c:v>
                </c:pt>
                <c:pt idx="1">
                  <c:v>567.95215850000011</c:v>
                </c:pt>
                <c:pt idx="2">
                  <c:v>1461.75642642</c:v>
                </c:pt>
                <c:pt idx="3">
                  <c:v>1732.26025527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5A-4516-A758-482FB494823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3"/>
        <c:overlap val="7"/>
        <c:axId val="152970912"/>
        <c:axId val="152969984"/>
      </c:barChart>
      <c:lineChart>
        <c:grouping val="standard"/>
        <c:varyColors val="0"/>
        <c:ser>
          <c:idx val="1"/>
          <c:order val="1"/>
          <c:tx>
            <c:strRef>
              <c:f>Hoja1!$A$3</c:f>
              <c:strCache>
                <c:ptCount val="1"/>
                <c:pt idx="0">
                  <c:v>Categoría 2</c:v>
                </c:pt>
              </c:strCache>
            </c:strRef>
          </c:tx>
          <c:spPr>
            <a:ln w="22225" cap="rnd">
              <a:noFill/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26"/>
            <c:spPr>
              <a:solidFill>
                <a:schemeClr val="bg2">
                  <a:lumMod val="75000"/>
                </a:schemeClr>
              </a:solidFill>
              <a:ln w="15875">
                <a:solidFill>
                  <a:schemeClr val="accent2"/>
                </a:solidFill>
                <a:round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marker>
          <c:dPt>
            <c:idx val="0"/>
            <c:marker>
              <c:symbol val="circle"/>
              <c:size val="26"/>
              <c:spPr>
                <a:solidFill>
                  <a:schemeClr val="accent3">
                    <a:lumMod val="20000"/>
                    <a:lumOff val="80000"/>
                  </a:schemeClr>
                </a:solidFill>
                <a:ln w="15875">
                  <a:solidFill>
                    <a:schemeClr val="accent2"/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2F5A-4516-A758-482FB4948230}"/>
              </c:ext>
            </c:extLst>
          </c:dPt>
          <c:dPt>
            <c:idx val="1"/>
            <c:marker>
              <c:symbol val="circle"/>
              <c:size val="26"/>
              <c:spPr>
                <a:solidFill>
                  <a:schemeClr val="accent6">
                    <a:lumMod val="20000"/>
                    <a:lumOff val="80000"/>
                  </a:schemeClr>
                </a:solidFill>
                <a:ln w="15875">
                  <a:solidFill>
                    <a:schemeClr val="accent2"/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2F5A-4516-A758-482FB4948230}"/>
              </c:ext>
            </c:extLst>
          </c:dPt>
          <c:dPt>
            <c:idx val="2"/>
            <c:marker>
              <c:symbol val="circle"/>
              <c:size val="26"/>
              <c:spPr>
                <a:solidFill>
                  <a:schemeClr val="accent6">
                    <a:lumMod val="20000"/>
                    <a:lumOff val="80000"/>
                  </a:schemeClr>
                </a:solidFill>
                <a:ln w="15875">
                  <a:solidFill>
                    <a:schemeClr val="accent2"/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2F5A-4516-A758-482FB4948230}"/>
              </c:ext>
            </c:extLst>
          </c:dPt>
          <c:dPt>
            <c:idx val="3"/>
            <c:marker>
              <c:symbol val="circle"/>
              <c:size val="26"/>
              <c:spPr>
                <a:noFill/>
                <a:ln w="15875">
                  <a:noFill/>
                  <a:round/>
                </a:ln>
                <a:effectLst/>
              </c:spPr>
            </c:marker>
            <c:bubble3D val="0"/>
            <c:spPr>
              <a:ln w="2222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2F5A-4516-A758-482FB4948230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5A-4516-A758-482FB4948230}"/>
                </c:ext>
              </c:extLst>
            </c:dLbl>
            <c:numFmt formatCode="#,##0.0_ ;[Red]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Hoja1!$B$1:$E$1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</c:v>
                </c:pt>
              </c:strCache>
            </c:strRef>
          </c:cat>
          <c:val>
            <c:numRef>
              <c:f>Hoja1!$B$3:$E$3</c:f>
              <c:numCache>
                <c:formatCode>General</c:formatCode>
                <c:ptCount val="4"/>
                <c:pt idx="0">
                  <c:v>-297.44832965000001</c:v>
                </c:pt>
                <c:pt idx="1">
                  <c:v>567.95215850000011</c:v>
                </c:pt>
                <c:pt idx="2">
                  <c:v>1461.75642642</c:v>
                </c:pt>
                <c:pt idx="3">
                  <c:v>1732.26025527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F5A-4516-A758-482FB4948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70912"/>
        <c:axId val="152969984"/>
      </c:lineChart>
      <c:catAx>
        <c:axId val="15297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69984"/>
        <c:crosses val="autoZero"/>
        <c:auto val="1"/>
        <c:lblAlgn val="ctr"/>
        <c:lblOffset val="100"/>
        <c:noMultiLvlLbl val="0"/>
      </c:catAx>
      <c:valAx>
        <c:axId val="15296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709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1">
                <a:solidFill>
                  <a:schemeClr val="tx1"/>
                </a:solidFill>
              </a:rPr>
              <a:t>Por tripo de intrumento a marzo</a:t>
            </a:r>
          </a:p>
        </c:rich>
      </c:tx>
      <c:layout>
        <c:manualLayout>
          <c:xMode val="edge"/>
          <c:yMode val="edge"/>
          <c:x val="0.19762369579835579"/>
          <c:y val="1.0752688172043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16536909448818898"/>
          <c:y val="0.13224253218347704"/>
          <c:w val="0.5624834602286285"/>
          <c:h val="0.77570084989376331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F44-4C92-821A-7F028F1FD3E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F44-4C92-821A-7F028F1FD3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Titulos de Deuda</c:v>
                </c:pt>
                <c:pt idx="1">
                  <c:v>Prestamos</c:v>
                </c:pt>
              </c:strCache>
            </c:strRef>
          </c:cat>
          <c:val>
            <c:numRef>
              <c:f>Hoja1!$B$2:$B$3</c:f>
              <c:numCache>
                <c:formatCode>#,##0.0_ ;[Red]\-#,##0.0\ </c:formatCode>
                <c:ptCount val="2"/>
                <c:pt idx="0">
                  <c:v>2516.1874206699999</c:v>
                </c:pt>
                <c:pt idx="1">
                  <c:v>-783.92716539999992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5-4ECC-B1F9-B9EE3AEC1E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9"/>
        <c:overlap val="-48"/>
        <c:axId val="152972768"/>
        <c:axId val="152984368"/>
      </c:barChart>
      <c:catAx>
        <c:axId val="15297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84368"/>
        <c:crosses val="autoZero"/>
        <c:auto val="1"/>
        <c:lblAlgn val="ctr"/>
        <c:lblOffset val="100"/>
        <c:noMultiLvlLbl val="0"/>
      </c:catAx>
      <c:valAx>
        <c:axId val="152984368"/>
        <c:scaling>
          <c:orientation val="minMax"/>
          <c:max val="3000"/>
          <c:min val="-2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_ ;[Red]\-#,##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72768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>
                <a:solidFill>
                  <a:sysClr val="windowText" lastClr="000000"/>
                </a:solidFill>
              </a:rPr>
              <a:t>Erogaciones por Función del</a:t>
            </a:r>
            <a:r>
              <a:rPr lang="es-GT" sz="1200" baseline="0">
                <a:solidFill>
                  <a:sysClr val="windowText" lastClr="000000"/>
                </a:solidFill>
              </a:rPr>
              <a:t> Gobierno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1100" baseline="0">
                <a:solidFill>
                  <a:sysClr val="windowText" lastClr="000000"/>
                </a:solidFill>
              </a:rPr>
              <a:t>Variaciones interanuales acumuladas a  marzo*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900" b="0" baseline="0">
                <a:solidFill>
                  <a:sysClr val="windowText" lastClr="000000"/>
                </a:solidFill>
              </a:rPr>
              <a:t>En millones de Quetzales</a:t>
            </a:r>
            <a:endParaRPr lang="es-GT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36941688538932632"/>
          <c:y val="0.2356521890599983"/>
          <c:w val="0.63058311461067362"/>
          <c:h val="0.76434781094000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'[Para Gráficas.xlsx]Eroga. desglozados'!$J$3:$N$3</c:f>
              <c:strCache>
                <c:ptCount val="1"/>
                <c:pt idx="0">
                  <c:v>2020*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Gráficas.xlsx]Eroga. desglozados'!$I$6:$I$75</c:f>
              <c:strCache>
                <c:ptCount val="10"/>
                <c:pt idx="0">
                  <c:v>Orden público y seguridad </c:v>
                </c:pt>
                <c:pt idx="1">
                  <c:v>Salud </c:v>
                </c:pt>
                <c:pt idx="2">
                  <c:v>Educación </c:v>
                </c:pt>
                <c:pt idx="3">
                  <c:v>Defensa </c:v>
                </c:pt>
                <c:pt idx="4">
                  <c:v>Protección social </c:v>
                </c:pt>
                <c:pt idx="5">
                  <c:v>Actividades recreativas, cultura y religión </c:v>
                </c:pt>
                <c:pt idx="6">
                  <c:v>Vivienda y servicios comunitarios </c:v>
                </c:pt>
                <c:pt idx="7">
                  <c:v>Protección del medio ambiente </c:v>
                </c:pt>
                <c:pt idx="8">
                  <c:v>Servicios públicos generales </c:v>
                </c:pt>
                <c:pt idx="9">
                  <c:v>Asuntos económicos </c:v>
                </c:pt>
              </c:strCache>
            </c:strRef>
          </c:cat>
          <c:val>
            <c:numRef>
              <c:f>'[Para Gráficas.xlsx]Eroga. desglozados'!$L$6:$L$75</c:f>
              <c:numCache>
                <c:formatCode>#,##0.0_ ;[Red]\-#,##0.0\ </c:formatCode>
                <c:ptCount val="10"/>
                <c:pt idx="0">
                  <c:v>388.86252908999995</c:v>
                </c:pt>
                <c:pt idx="1">
                  <c:v>202.04774869999983</c:v>
                </c:pt>
                <c:pt idx="2">
                  <c:v>182.00900527000067</c:v>
                </c:pt>
                <c:pt idx="3">
                  <c:v>30.809944440000038</c:v>
                </c:pt>
                <c:pt idx="4">
                  <c:v>27.453163529999983</c:v>
                </c:pt>
                <c:pt idx="5">
                  <c:v>-8.2951976899999522</c:v>
                </c:pt>
                <c:pt idx="6">
                  <c:v>-30.458217469999909</c:v>
                </c:pt>
                <c:pt idx="7">
                  <c:v>-38.840290400000001</c:v>
                </c:pt>
                <c:pt idx="8">
                  <c:v>-118.76703031000079</c:v>
                </c:pt>
                <c:pt idx="9">
                  <c:v>-245.44433672000014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9-4098-890E-1F7CBB36AEF0}"/>
            </c:ext>
          </c:extLst>
        </c:ser>
        <c:ser>
          <c:idx val="1"/>
          <c:order val="1"/>
          <c:tx>
            <c:strRef>
              <c:f>'[Para Gráficas.xlsx]Eroga. desglozados'!$O$3:$S$3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'[Para Gráficas.xlsx]Eroga. desglozados'!$I$6:$I$75</c:f>
              <c:strCache>
                <c:ptCount val="10"/>
                <c:pt idx="0">
                  <c:v>Orden público y seguridad </c:v>
                </c:pt>
                <c:pt idx="1">
                  <c:v>Salud </c:v>
                </c:pt>
                <c:pt idx="2">
                  <c:v>Educación </c:v>
                </c:pt>
                <c:pt idx="3">
                  <c:v>Defensa </c:v>
                </c:pt>
                <c:pt idx="4">
                  <c:v>Protección social </c:v>
                </c:pt>
                <c:pt idx="5">
                  <c:v>Actividades recreativas, cultura y religión </c:v>
                </c:pt>
                <c:pt idx="6">
                  <c:v>Vivienda y servicios comunitarios </c:v>
                </c:pt>
                <c:pt idx="7">
                  <c:v>Protección del medio ambiente </c:v>
                </c:pt>
                <c:pt idx="8">
                  <c:v>Servicios públicos generales </c:v>
                </c:pt>
                <c:pt idx="9">
                  <c:v>Asuntos económicos </c:v>
                </c:pt>
              </c:strCache>
            </c:strRef>
          </c:cat>
          <c:val>
            <c:numRef>
              <c:f>'[Para Gráficas.xlsx]Eroga. desglozados'!$Q$6:$Q$75</c:f>
              <c:numCache>
                <c:formatCode>#,##0.0_ ;[Red]\-#,##0.0\ </c:formatCode>
                <c:ptCount val="10"/>
                <c:pt idx="0">
                  <c:v>81.177067560000069</c:v>
                </c:pt>
                <c:pt idx="1">
                  <c:v>142.69836034000014</c:v>
                </c:pt>
                <c:pt idx="2">
                  <c:v>973.51450389000001</c:v>
                </c:pt>
                <c:pt idx="3">
                  <c:v>3.1944969599999808</c:v>
                </c:pt>
                <c:pt idx="4">
                  <c:v>161.80471118999958</c:v>
                </c:pt>
                <c:pt idx="5">
                  <c:v>29.69088075999997</c:v>
                </c:pt>
                <c:pt idx="6">
                  <c:v>264.59420707000004</c:v>
                </c:pt>
                <c:pt idx="7">
                  <c:v>55.413232100000002</c:v>
                </c:pt>
                <c:pt idx="8">
                  <c:v>398.99227779000057</c:v>
                </c:pt>
                <c:pt idx="9">
                  <c:v>425.69963352000013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59-4098-890E-1F7CBB36A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170388288"/>
        <c:axId val="1181658512"/>
      </c:barChart>
      <c:catAx>
        <c:axId val="117038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81658512"/>
        <c:crosses val="autoZero"/>
        <c:auto val="1"/>
        <c:lblAlgn val="ctr"/>
        <c:lblOffset val="100"/>
        <c:noMultiLvlLbl val="0"/>
      </c:catAx>
      <c:valAx>
        <c:axId val="1181658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 ;[Red]\-#,##0.0\ " sourceLinked="1"/>
        <c:majorTickMark val="none"/>
        <c:minorTickMark val="none"/>
        <c:tickLblPos val="nextTo"/>
        <c:crossAx val="11703882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164851268591429"/>
          <c:y val="0.91772462886647321"/>
          <c:w val="0.21279593175853018"/>
          <c:h val="8.21770195392242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Hay una diferencia importante entre la definición de "ingreso" en la metodología nacional y los estandares internacionales.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 ingreso es un aumento del patrimonio neto como resultado de una transacción 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3760A-CAC8-432D-A020-F77BFA77D735}" type="pres">
      <dgm:prSet presAssocID="{FF27429C-5B6E-468F-AF42-BE9281FF2A23}" presName="linear" presStyleCnt="0">
        <dgm:presLayoutVars>
          <dgm:dir/>
          <dgm:animLvl val="lvl"/>
          <dgm:resizeHandles val="exact"/>
        </dgm:presLayoutVars>
      </dgm:prSet>
      <dgm:spPr/>
    </dgm:pt>
    <dgm:pt modelId="{6E63B848-FDAE-4891-8566-8BE88B653316}" type="pres">
      <dgm:prSet presAssocID="{68DFCB13-F778-41C4-88A6-8A8793BBCF6B}" presName="parentLin" presStyleCnt="0"/>
      <dgm:spPr/>
    </dgm:pt>
    <dgm:pt modelId="{374EA5B0-C6AD-46BF-9645-7F0ED252FE66}" type="pres">
      <dgm:prSet presAssocID="{68DFCB13-F778-41C4-88A6-8A8793BBCF6B}" presName="parentLeftMargin" presStyleLbl="node1" presStyleIdx="0" presStyleCnt="1"/>
      <dgm:spPr/>
    </dgm:pt>
    <dgm:pt modelId="{377E1CD8-0067-463D-AA47-7581C029D7D4}" type="pres">
      <dgm:prSet presAssocID="{68DFCB13-F778-41C4-88A6-8A8793BBCF6B}" presName="parentText" presStyleLbl="node1" presStyleIdx="0" presStyleCnt="1" custScaleX="33793">
        <dgm:presLayoutVars>
          <dgm:chMax val="0"/>
          <dgm:bulletEnabled val="1"/>
        </dgm:presLayoutVars>
      </dgm:prSet>
      <dgm:spPr/>
    </dgm:pt>
    <dgm:pt modelId="{8C78493C-3C9C-4FDF-89DE-DDAC27488222}" type="pres">
      <dgm:prSet presAssocID="{68DFCB13-F778-41C4-88A6-8A8793BBCF6B}" presName="negativeSpace" presStyleCnt="0"/>
      <dgm:spPr/>
    </dgm:pt>
    <dgm:pt modelId="{1111B519-2F2F-4512-95FE-D2216303CCBE}" type="pres">
      <dgm:prSet presAssocID="{68DFCB13-F778-41C4-88A6-8A8793BBCF6B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2B97E307-DDDC-45DC-9CA7-632648FED3B9}" type="presOf" srcId="{01C29C0B-230A-4A2F-B7AB-59E88CC6B709}" destId="{1111B519-2F2F-4512-95FE-D2216303CCBE}" srcOrd="0" destOrd="0" presId="urn:microsoft.com/office/officeart/2005/8/layout/list1"/>
    <dgm:cxn modelId="{E9E7F310-CA62-40CB-950B-C2B09700E887}" type="presOf" srcId="{FF27429C-5B6E-468F-AF42-BE9281FF2A23}" destId="{7323760A-CAC8-432D-A020-F77BFA77D735}" srcOrd="0" destOrd="0" presId="urn:microsoft.com/office/officeart/2005/8/layout/list1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CF9E1A65-553C-4315-9B4D-6922C5CF2185}" type="presOf" srcId="{68DFCB13-F778-41C4-88A6-8A8793BBCF6B}" destId="{377E1CD8-0067-463D-AA47-7581C029D7D4}" srcOrd="1" destOrd="0" presId="urn:microsoft.com/office/officeart/2005/8/layout/list1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3FDC437B-7FEB-4570-9F57-FAA88171B111}" type="presOf" srcId="{68DFCB13-F778-41C4-88A6-8A8793BBCF6B}" destId="{374EA5B0-C6AD-46BF-9645-7F0ED252FE66}" srcOrd="0" destOrd="0" presId="urn:microsoft.com/office/officeart/2005/8/layout/list1"/>
    <dgm:cxn modelId="{4BC55A49-751C-408F-B176-B7C4C361EF7E}" type="presParOf" srcId="{7323760A-CAC8-432D-A020-F77BFA77D735}" destId="{6E63B848-FDAE-4891-8566-8BE88B653316}" srcOrd="0" destOrd="0" presId="urn:microsoft.com/office/officeart/2005/8/layout/list1"/>
    <dgm:cxn modelId="{168861B8-2B13-4D21-A0A3-3DF5AA125F21}" type="presParOf" srcId="{6E63B848-FDAE-4891-8566-8BE88B653316}" destId="{374EA5B0-C6AD-46BF-9645-7F0ED252FE66}" srcOrd="0" destOrd="0" presId="urn:microsoft.com/office/officeart/2005/8/layout/list1"/>
    <dgm:cxn modelId="{FD713377-EE71-47D7-9EBD-4A34BD75CF63}" type="presParOf" srcId="{6E63B848-FDAE-4891-8566-8BE88B653316}" destId="{377E1CD8-0067-463D-AA47-7581C029D7D4}" srcOrd="1" destOrd="0" presId="urn:microsoft.com/office/officeart/2005/8/layout/list1"/>
    <dgm:cxn modelId="{855C1ABF-EE0E-4368-AAF2-7D3585E239A5}" type="presParOf" srcId="{7323760A-CAC8-432D-A020-F77BFA77D735}" destId="{8C78493C-3C9C-4FDF-89DE-DDAC27488222}" srcOrd="1" destOrd="0" presId="urn:microsoft.com/office/officeart/2005/8/layout/list1"/>
    <dgm:cxn modelId="{680373E2-88CE-4642-9587-481CCEFD2578}" type="presParOf" srcId="{7323760A-CAC8-432D-A020-F77BFA77D735}" destId="{1111B519-2F2F-4512-95FE-D2216303CC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Los "Gastos" en los estandares internacionales presentan mayores diferncias respecto a la información presentada  metodología nacional y es importante entender que estos no son comparables entre si.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 gasto es una disminución del patrimonio neto como resultado de una transacción 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3760A-CAC8-432D-A020-F77BFA77D735}" type="pres">
      <dgm:prSet presAssocID="{FF27429C-5B6E-468F-AF42-BE9281FF2A23}" presName="linear" presStyleCnt="0">
        <dgm:presLayoutVars>
          <dgm:dir/>
          <dgm:animLvl val="lvl"/>
          <dgm:resizeHandles val="exact"/>
        </dgm:presLayoutVars>
      </dgm:prSet>
      <dgm:spPr/>
    </dgm:pt>
    <dgm:pt modelId="{6E63B848-FDAE-4891-8566-8BE88B653316}" type="pres">
      <dgm:prSet presAssocID="{68DFCB13-F778-41C4-88A6-8A8793BBCF6B}" presName="parentLin" presStyleCnt="0"/>
      <dgm:spPr/>
    </dgm:pt>
    <dgm:pt modelId="{374EA5B0-C6AD-46BF-9645-7F0ED252FE66}" type="pres">
      <dgm:prSet presAssocID="{68DFCB13-F778-41C4-88A6-8A8793BBCF6B}" presName="parentLeftMargin" presStyleLbl="node1" presStyleIdx="0" presStyleCnt="1"/>
      <dgm:spPr/>
    </dgm:pt>
    <dgm:pt modelId="{377E1CD8-0067-463D-AA47-7581C029D7D4}" type="pres">
      <dgm:prSet presAssocID="{68DFCB13-F778-41C4-88A6-8A8793BBCF6B}" presName="parentText" presStyleLbl="node1" presStyleIdx="0" presStyleCnt="1" custScaleX="33793">
        <dgm:presLayoutVars>
          <dgm:chMax val="0"/>
          <dgm:bulletEnabled val="1"/>
        </dgm:presLayoutVars>
      </dgm:prSet>
      <dgm:spPr/>
    </dgm:pt>
    <dgm:pt modelId="{8C78493C-3C9C-4FDF-89DE-DDAC27488222}" type="pres">
      <dgm:prSet presAssocID="{68DFCB13-F778-41C4-88A6-8A8793BBCF6B}" presName="negativeSpace" presStyleCnt="0"/>
      <dgm:spPr/>
    </dgm:pt>
    <dgm:pt modelId="{1111B519-2F2F-4512-95FE-D2216303CCBE}" type="pres">
      <dgm:prSet presAssocID="{68DFCB13-F778-41C4-88A6-8A8793BBCF6B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2B97E307-DDDC-45DC-9CA7-632648FED3B9}" type="presOf" srcId="{01C29C0B-230A-4A2F-B7AB-59E88CC6B709}" destId="{1111B519-2F2F-4512-95FE-D2216303CCBE}" srcOrd="0" destOrd="0" presId="urn:microsoft.com/office/officeart/2005/8/layout/list1"/>
    <dgm:cxn modelId="{E9E7F310-CA62-40CB-950B-C2B09700E887}" type="presOf" srcId="{FF27429C-5B6E-468F-AF42-BE9281FF2A23}" destId="{7323760A-CAC8-432D-A020-F77BFA77D735}" srcOrd="0" destOrd="0" presId="urn:microsoft.com/office/officeart/2005/8/layout/list1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CF9E1A65-553C-4315-9B4D-6922C5CF2185}" type="presOf" srcId="{68DFCB13-F778-41C4-88A6-8A8793BBCF6B}" destId="{377E1CD8-0067-463D-AA47-7581C029D7D4}" srcOrd="1" destOrd="0" presId="urn:microsoft.com/office/officeart/2005/8/layout/list1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3FDC437B-7FEB-4570-9F57-FAA88171B111}" type="presOf" srcId="{68DFCB13-F778-41C4-88A6-8A8793BBCF6B}" destId="{374EA5B0-C6AD-46BF-9645-7F0ED252FE66}" srcOrd="0" destOrd="0" presId="urn:microsoft.com/office/officeart/2005/8/layout/list1"/>
    <dgm:cxn modelId="{4BC55A49-751C-408F-B176-B7C4C361EF7E}" type="presParOf" srcId="{7323760A-CAC8-432D-A020-F77BFA77D735}" destId="{6E63B848-FDAE-4891-8566-8BE88B653316}" srcOrd="0" destOrd="0" presId="urn:microsoft.com/office/officeart/2005/8/layout/list1"/>
    <dgm:cxn modelId="{168861B8-2B13-4D21-A0A3-3DF5AA125F21}" type="presParOf" srcId="{6E63B848-FDAE-4891-8566-8BE88B653316}" destId="{374EA5B0-C6AD-46BF-9645-7F0ED252FE66}" srcOrd="0" destOrd="0" presId="urn:microsoft.com/office/officeart/2005/8/layout/list1"/>
    <dgm:cxn modelId="{FD713377-EE71-47D7-9EBD-4A34BD75CF63}" type="presParOf" srcId="{6E63B848-FDAE-4891-8566-8BE88B653316}" destId="{377E1CD8-0067-463D-AA47-7581C029D7D4}" srcOrd="1" destOrd="0" presId="urn:microsoft.com/office/officeart/2005/8/layout/list1"/>
    <dgm:cxn modelId="{855C1ABF-EE0E-4368-AAF2-7D3585E239A5}" type="presParOf" srcId="{7323760A-CAC8-432D-A020-F77BFA77D735}" destId="{8C78493C-3C9C-4FDF-89DE-DDAC27488222}" srcOrd="1" destOrd="0" presId="urn:microsoft.com/office/officeart/2005/8/layout/list1"/>
    <dgm:cxn modelId="{680373E2-88CE-4642-9587-481CCEFD2578}" type="presParOf" srcId="{7323760A-CAC8-432D-A020-F77BFA77D735}" destId="{1111B519-2F2F-4512-95FE-D2216303CC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/>
      <dgm:t>
        <a:bodyPr/>
        <a:lstStyle/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Las transacciones en activos y pasivos no generan cambios en el patrimonio neto.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3760A-CAC8-432D-A020-F77BFA77D735}" type="pres">
      <dgm:prSet presAssocID="{FF27429C-5B6E-468F-AF42-BE9281FF2A23}" presName="linear" presStyleCnt="0">
        <dgm:presLayoutVars>
          <dgm:dir/>
          <dgm:animLvl val="lvl"/>
          <dgm:resizeHandles val="exact"/>
        </dgm:presLayoutVars>
      </dgm:prSet>
      <dgm:spPr/>
    </dgm:pt>
    <dgm:pt modelId="{6E63B848-FDAE-4891-8566-8BE88B653316}" type="pres">
      <dgm:prSet presAssocID="{68DFCB13-F778-41C4-88A6-8A8793BBCF6B}" presName="parentLin" presStyleCnt="0"/>
      <dgm:spPr/>
    </dgm:pt>
    <dgm:pt modelId="{374EA5B0-C6AD-46BF-9645-7F0ED252FE66}" type="pres">
      <dgm:prSet presAssocID="{68DFCB13-F778-41C4-88A6-8A8793BBCF6B}" presName="parentLeftMargin" presStyleLbl="node1" presStyleIdx="0" presStyleCnt="1"/>
      <dgm:spPr/>
    </dgm:pt>
    <dgm:pt modelId="{377E1CD8-0067-463D-AA47-7581C029D7D4}" type="pres">
      <dgm:prSet presAssocID="{68DFCB13-F778-41C4-88A6-8A8793BBCF6B}" presName="parentText" presStyleLbl="node1" presStyleIdx="0" presStyleCnt="1" custScaleX="33793">
        <dgm:presLayoutVars>
          <dgm:chMax val="0"/>
          <dgm:bulletEnabled val="1"/>
        </dgm:presLayoutVars>
      </dgm:prSet>
      <dgm:spPr/>
    </dgm:pt>
    <dgm:pt modelId="{8C78493C-3C9C-4FDF-89DE-DDAC27488222}" type="pres">
      <dgm:prSet presAssocID="{68DFCB13-F778-41C4-88A6-8A8793BBCF6B}" presName="negativeSpace" presStyleCnt="0"/>
      <dgm:spPr/>
    </dgm:pt>
    <dgm:pt modelId="{1111B519-2F2F-4512-95FE-D2216303CCBE}" type="pres">
      <dgm:prSet presAssocID="{68DFCB13-F778-41C4-88A6-8A8793BBCF6B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2B97E307-DDDC-45DC-9CA7-632648FED3B9}" type="presOf" srcId="{01C29C0B-230A-4A2F-B7AB-59E88CC6B709}" destId="{1111B519-2F2F-4512-95FE-D2216303CCBE}" srcOrd="0" destOrd="0" presId="urn:microsoft.com/office/officeart/2005/8/layout/list1"/>
    <dgm:cxn modelId="{E9E7F310-CA62-40CB-950B-C2B09700E887}" type="presOf" srcId="{FF27429C-5B6E-468F-AF42-BE9281FF2A23}" destId="{7323760A-CAC8-432D-A020-F77BFA77D735}" srcOrd="0" destOrd="0" presId="urn:microsoft.com/office/officeart/2005/8/layout/list1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CF9E1A65-553C-4315-9B4D-6922C5CF2185}" type="presOf" srcId="{68DFCB13-F778-41C4-88A6-8A8793BBCF6B}" destId="{377E1CD8-0067-463D-AA47-7581C029D7D4}" srcOrd="1" destOrd="0" presId="urn:microsoft.com/office/officeart/2005/8/layout/list1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3FDC437B-7FEB-4570-9F57-FAA88171B111}" type="presOf" srcId="{68DFCB13-F778-41C4-88A6-8A8793BBCF6B}" destId="{374EA5B0-C6AD-46BF-9645-7F0ED252FE66}" srcOrd="0" destOrd="0" presId="urn:microsoft.com/office/officeart/2005/8/layout/list1"/>
    <dgm:cxn modelId="{4BC55A49-751C-408F-B176-B7C4C361EF7E}" type="presParOf" srcId="{7323760A-CAC8-432D-A020-F77BFA77D735}" destId="{6E63B848-FDAE-4891-8566-8BE88B653316}" srcOrd="0" destOrd="0" presId="urn:microsoft.com/office/officeart/2005/8/layout/list1"/>
    <dgm:cxn modelId="{168861B8-2B13-4D21-A0A3-3DF5AA125F21}" type="presParOf" srcId="{6E63B848-FDAE-4891-8566-8BE88B653316}" destId="{374EA5B0-C6AD-46BF-9645-7F0ED252FE66}" srcOrd="0" destOrd="0" presId="urn:microsoft.com/office/officeart/2005/8/layout/list1"/>
    <dgm:cxn modelId="{FD713377-EE71-47D7-9EBD-4A34BD75CF63}" type="presParOf" srcId="{6E63B848-FDAE-4891-8566-8BE88B653316}" destId="{377E1CD8-0067-463D-AA47-7581C029D7D4}" srcOrd="1" destOrd="0" presId="urn:microsoft.com/office/officeart/2005/8/layout/list1"/>
    <dgm:cxn modelId="{855C1ABF-EE0E-4368-AAF2-7D3585E239A5}" type="presParOf" srcId="{7323760A-CAC8-432D-A020-F77BFA77D735}" destId="{8C78493C-3C9C-4FDF-89DE-DDAC27488222}" srcOrd="1" destOrd="0" presId="urn:microsoft.com/office/officeart/2005/8/layout/list1"/>
    <dgm:cxn modelId="{680373E2-88CE-4642-9587-481CCEFD2578}" type="presParOf" srcId="{7323760A-CAC8-432D-A020-F77BFA77D735}" destId="{1111B519-2F2F-4512-95FE-D2216303CC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 lo que en la metdología nacional se entiende por Gasto, sin embargo, poseen algunas diferencias leves.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una erogación es la suma de los gastos y la inversión neta en activos no financieros 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3760A-CAC8-432D-A020-F77BFA77D735}" type="pres">
      <dgm:prSet presAssocID="{FF27429C-5B6E-468F-AF42-BE9281FF2A23}" presName="linear" presStyleCnt="0">
        <dgm:presLayoutVars>
          <dgm:dir/>
          <dgm:animLvl val="lvl"/>
          <dgm:resizeHandles val="exact"/>
        </dgm:presLayoutVars>
      </dgm:prSet>
      <dgm:spPr/>
    </dgm:pt>
    <dgm:pt modelId="{6E63B848-FDAE-4891-8566-8BE88B653316}" type="pres">
      <dgm:prSet presAssocID="{68DFCB13-F778-41C4-88A6-8A8793BBCF6B}" presName="parentLin" presStyleCnt="0"/>
      <dgm:spPr/>
    </dgm:pt>
    <dgm:pt modelId="{374EA5B0-C6AD-46BF-9645-7F0ED252FE66}" type="pres">
      <dgm:prSet presAssocID="{68DFCB13-F778-41C4-88A6-8A8793BBCF6B}" presName="parentLeftMargin" presStyleLbl="node1" presStyleIdx="0" presStyleCnt="1"/>
      <dgm:spPr/>
    </dgm:pt>
    <dgm:pt modelId="{377E1CD8-0067-463D-AA47-7581C029D7D4}" type="pres">
      <dgm:prSet presAssocID="{68DFCB13-F778-41C4-88A6-8A8793BBCF6B}" presName="parentText" presStyleLbl="node1" presStyleIdx="0" presStyleCnt="1" custScaleX="33793">
        <dgm:presLayoutVars>
          <dgm:chMax val="0"/>
          <dgm:bulletEnabled val="1"/>
        </dgm:presLayoutVars>
      </dgm:prSet>
      <dgm:spPr/>
    </dgm:pt>
    <dgm:pt modelId="{8C78493C-3C9C-4FDF-89DE-DDAC27488222}" type="pres">
      <dgm:prSet presAssocID="{68DFCB13-F778-41C4-88A6-8A8793BBCF6B}" presName="negativeSpace" presStyleCnt="0"/>
      <dgm:spPr/>
    </dgm:pt>
    <dgm:pt modelId="{1111B519-2F2F-4512-95FE-D2216303CCBE}" type="pres">
      <dgm:prSet presAssocID="{68DFCB13-F778-41C4-88A6-8A8793BBCF6B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2B97E307-DDDC-45DC-9CA7-632648FED3B9}" type="presOf" srcId="{01C29C0B-230A-4A2F-B7AB-59E88CC6B709}" destId="{1111B519-2F2F-4512-95FE-D2216303CCBE}" srcOrd="0" destOrd="0" presId="urn:microsoft.com/office/officeart/2005/8/layout/list1"/>
    <dgm:cxn modelId="{E9E7F310-CA62-40CB-950B-C2B09700E887}" type="presOf" srcId="{FF27429C-5B6E-468F-AF42-BE9281FF2A23}" destId="{7323760A-CAC8-432D-A020-F77BFA77D735}" srcOrd="0" destOrd="0" presId="urn:microsoft.com/office/officeart/2005/8/layout/list1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CF9E1A65-553C-4315-9B4D-6922C5CF2185}" type="presOf" srcId="{68DFCB13-F778-41C4-88A6-8A8793BBCF6B}" destId="{377E1CD8-0067-463D-AA47-7581C029D7D4}" srcOrd="1" destOrd="0" presId="urn:microsoft.com/office/officeart/2005/8/layout/list1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3FDC437B-7FEB-4570-9F57-FAA88171B111}" type="presOf" srcId="{68DFCB13-F778-41C4-88A6-8A8793BBCF6B}" destId="{374EA5B0-C6AD-46BF-9645-7F0ED252FE66}" srcOrd="0" destOrd="0" presId="urn:microsoft.com/office/officeart/2005/8/layout/list1"/>
    <dgm:cxn modelId="{4BC55A49-751C-408F-B176-B7C4C361EF7E}" type="presParOf" srcId="{7323760A-CAC8-432D-A020-F77BFA77D735}" destId="{6E63B848-FDAE-4891-8566-8BE88B653316}" srcOrd="0" destOrd="0" presId="urn:microsoft.com/office/officeart/2005/8/layout/list1"/>
    <dgm:cxn modelId="{168861B8-2B13-4D21-A0A3-3DF5AA125F21}" type="presParOf" srcId="{6E63B848-FDAE-4891-8566-8BE88B653316}" destId="{374EA5B0-C6AD-46BF-9645-7F0ED252FE66}" srcOrd="0" destOrd="0" presId="urn:microsoft.com/office/officeart/2005/8/layout/list1"/>
    <dgm:cxn modelId="{FD713377-EE71-47D7-9EBD-4A34BD75CF63}" type="presParOf" srcId="{6E63B848-FDAE-4891-8566-8BE88B653316}" destId="{377E1CD8-0067-463D-AA47-7581C029D7D4}" srcOrd="1" destOrd="0" presId="urn:microsoft.com/office/officeart/2005/8/layout/list1"/>
    <dgm:cxn modelId="{855C1ABF-EE0E-4368-AAF2-7D3585E239A5}" type="presParOf" srcId="{7323760A-CAC8-432D-A020-F77BFA77D735}" destId="{8C78493C-3C9C-4FDF-89DE-DDAC27488222}" srcOrd="1" destOrd="0" presId="urn:microsoft.com/office/officeart/2005/8/layout/list1"/>
    <dgm:cxn modelId="{680373E2-88CE-4642-9587-481CCEFD2578}" type="presParOf" srcId="{7323760A-CAC8-432D-A020-F77BFA77D735}" destId="{1111B519-2F2F-4512-95FE-D2216303CC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considerable entre el concepto de  resultado fiscal con metodología nacional y los estandares internaciones, lo cual hace que estos no sean perfectamente comparables.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 existen los siguientes indicadores fiscales: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D409E7-6B38-4B8B-8222-44C703F58D92}">
      <dgm:prSet phldrT="[Texto]"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1.) Resultado Operativo Neto (NOB) = </a:t>
          </a:r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</dgm:t>
    </dgm:pt>
    <dgm:pt modelId="{35E9F9E2-37BD-42CA-AB3F-4201DA8C5649}" type="parTrans" cxnId="{D2A05A42-79FB-4963-8B17-BF9A6786808F}">
      <dgm:prSet/>
      <dgm:spPr/>
      <dgm:t>
        <a:bodyPr/>
        <a:lstStyle/>
        <a:p>
          <a:endParaRPr lang="en-US"/>
        </a:p>
      </dgm:t>
    </dgm:pt>
    <dgm:pt modelId="{AC2A3F50-B651-4C05-9C8B-A8F890A72D73}" type="sibTrans" cxnId="{D2A05A42-79FB-4963-8B17-BF9A6786808F}">
      <dgm:prSet/>
      <dgm:spPr/>
      <dgm:t>
        <a:bodyPr/>
        <a:lstStyle/>
        <a:p>
          <a:endParaRPr lang="en-US"/>
        </a:p>
      </dgm:t>
    </dgm:pt>
    <dgm:pt modelId="{3CF91B55-1F75-4C87-9C67-A20C9FA05662}">
      <dgm:prSet phldrT="[Texto]"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2.) Resultado Operativo Bruto (GOB) = </a:t>
          </a:r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</dgm:t>
    </dgm:pt>
    <dgm:pt modelId="{D8385961-8EAF-45B4-BEDD-9F02F740FFF8}" type="parTrans" cxnId="{3B646E4E-A757-43B0-9D09-BAE2E05E5ACA}">
      <dgm:prSet/>
      <dgm:spPr/>
      <dgm:t>
        <a:bodyPr/>
        <a:lstStyle/>
        <a:p>
          <a:endParaRPr lang="en-US"/>
        </a:p>
      </dgm:t>
    </dgm:pt>
    <dgm:pt modelId="{3B565E79-6F22-4474-B8A9-856B312682A2}" type="sibTrans" cxnId="{3B646E4E-A757-43B0-9D09-BAE2E05E5ACA}">
      <dgm:prSet/>
      <dgm:spPr/>
      <dgm:t>
        <a:bodyPr/>
        <a:lstStyle/>
        <a:p>
          <a:endParaRPr lang="en-US"/>
        </a:p>
      </dgm:t>
    </dgm:pt>
    <dgm:pt modelId="{DDD57492-28E1-4534-8544-AE4C4F54393E}">
      <dgm:prSet phldrT="[Texto]"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3.) Prestamo o Endeudamiento Neto (NLB) = </a:t>
          </a:r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</dgm:t>
    </dgm:pt>
    <dgm:pt modelId="{F4E1C6EE-CD86-4051-8C91-50C764FC2B3C}" type="parTrans" cxnId="{804E552C-050E-4FE3-9A89-FA56FE6F04DB}">
      <dgm:prSet/>
      <dgm:spPr/>
      <dgm:t>
        <a:bodyPr/>
        <a:lstStyle/>
        <a:p>
          <a:endParaRPr lang="en-US"/>
        </a:p>
      </dgm:t>
    </dgm:pt>
    <dgm:pt modelId="{810108D9-3C67-4E9B-A016-62224098F996}" type="sibTrans" cxnId="{804E552C-050E-4FE3-9A89-FA56FE6F04DB}">
      <dgm:prSet/>
      <dgm:spPr/>
      <dgm:t>
        <a:bodyPr/>
        <a:lstStyle/>
        <a:p>
          <a:endParaRPr lang="en-US"/>
        </a:p>
      </dgm:t>
    </dgm:pt>
    <dgm:pt modelId="{B3BD5EE0-8B02-47DD-9A82-259B22A65496}">
      <dgm:prSet phldrT="[Texto]" custT="1"/>
      <dgm:spPr/>
      <dgm:t>
        <a:bodyPr/>
        <a:lstStyle/>
        <a:p>
          <a:pPr algn="l"/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714091-2FD7-45AB-996F-8D909E729D08}" type="parTrans" cxnId="{46B5D4E3-A1B8-446E-BF94-1D1B608BD025}">
      <dgm:prSet/>
      <dgm:spPr/>
      <dgm:t>
        <a:bodyPr/>
        <a:lstStyle/>
        <a:p>
          <a:endParaRPr lang="en-US"/>
        </a:p>
      </dgm:t>
    </dgm:pt>
    <dgm:pt modelId="{0927F4C2-33AC-47BA-87B1-9849DE2EA647}" type="sibTrans" cxnId="{46B5D4E3-A1B8-446E-BF94-1D1B608BD025}">
      <dgm:prSet/>
      <dgm:spPr/>
      <dgm:t>
        <a:bodyPr/>
        <a:lstStyle/>
        <a:p>
          <a:endParaRPr lang="en-US"/>
        </a:p>
      </dgm:t>
    </dgm:pt>
    <dgm:pt modelId="{8A074394-24C9-4417-B175-5B020C5132EE}">
      <dgm:prSet phldrT="[Texto]" custT="1"/>
      <dgm:spPr/>
      <dgm:t>
        <a:bodyPr/>
        <a:lstStyle/>
        <a:p>
          <a:pPr algn="l"/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E292B1-DDE6-4D66-AF9B-D8F09CB2C44B}" type="parTrans" cxnId="{DAA46AD6-6800-4619-A2CB-499FD1424CD7}">
      <dgm:prSet/>
      <dgm:spPr/>
      <dgm:t>
        <a:bodyPr/>
        <a:lstStyle/>
        <a:p>
          <a:endParaRPr lang="en-US"/>
        </a:p>
      </dgm:t>
    </dgm:pt>
    <dgm:pt modelId="{BB78CF32-946E-44D8-A2CB-37AAD43DE337}" type="sibTrans" cxnId="{DAA46AD6-6800-4619-A2CB-499FD1424CD7}">
      <dgm:prSet/>
      <dgm:spPr/>
      <dgm:t>
        <a:bodyPr/>
        <a:lstStyle/>
        <a:p>
          <a:endParaRPr lang="en-US"/>
        </a:p>
      </dgm:t>
    </dgm:pt>
    <dgm:pt modelId="{6F8CBEB5-BD00-46A8-8598-53DD15BC0D05}">
      <dgm:prSet phldrT="[Texto]"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</dgm:t>
    </dgm:pt>
    <dgm:pt modelId="{A6EB8F4D-3D4D-468C-8830-DEA557649AF4}" type="parTrans" cxnId="{62A354C5-3414-40BA-AD2A-45FD81C86CE9}">
      <dgm:prSet/>
      <dgm:spPr/>
      <dgm:t>
        <a:bodyPr/>
        <a:lstStyle/>
        <a:p>
          <a:endParaRPr lang="en-US"/>
        </a:p>
      </dgm:t>
    </dgm:pt>
    <dgm:pt modelId="{0628C494-8642-43D7-B0AB-7759DCBF2D72}" type="sibTrans" cxnId="{62A354C5-3414-40BA-AD2A-45FD81C86CE9}">
      <dgm:prSet/>
      <dgm:spPr/>
      <dgm:t>
        <a:bodyPr/>
        <a:lstStyle/>
        <a:p>
          <a:endParaRPr lang="en-US"/>
        </a:p>
      </dgm:t>
    </dgm:pt>
    <dgm:pt modelId="{F66DA131-6178-426C-B996-591DEB09B7CB}">
      <dgm:prSet phldrT="[Texto]" custT="1"/>
      <dgm:spPr/>
      <dgm:t>
        <a:bodyPr/>
        <a:lstStyle/>
        <a:p>
          <a:pPr algn="just"/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9C5CB-6317-4711-B2DE-3942A095800E}" type="parTrans" cxnId="{85A2A9D1-776F-461B-B5DF-FAD4A3C4D680}">
      <dgm:prSet/>
      <dgm:spPr/>
      <dgm:t>
        <a:bodyPr/>
        <a:lstStyle/>
        <a:p>
          <a:endParaRPr lang="en-US"/>
        </a:p>
      </dgm:t>
    </dgm:pt>
    <dgm:pt modelId="{FC3858C3-5945-430C-BB96-A050D5CEC46F}" type="sibTrans" cxnId="{85A2A9D1-776F-461B-B5DF-FAD4A3C4D680}">
      <dgm:prSet/>
      <dgm:spPr/>
      <dgm:t>
        <a:bodyPr/>
        <a:lstStyle/>
        <a:p>
          <a:endParaRPr lang="en-US"/>
        </a:p>
      </dgm:t>
    </dgm:pt>
    <dgm:pt modelId="{453A4B04-F76E-490B-8F74-F2CEC3B8BB19}">
      <dgm:prSet phldrT="[Texto]" custT="1"/>
      <dgm:spPr/>
      <dgm:t>
        <a:bodyPr/>
        <a:lstStyle/>
        <a:p>
          <a:pPr algn="just"/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616642-9216-43BC-85CB-23782D39B7D5}" type="parTrans" cxnId="{E97BC17C-ACE4-4BB7-BC2E-2E60E6AEC07C}">
      <dgm:prSet/>
      <dgm:spPr/>
    </dgm:pt>
    <dgm:pt modelId="{0C3A3D81-03D4-41F0-9DDD-F21090510B7A}" type="sibTrans" cxnId="{E97BC17C-ACE4-4BB7-BC2E-2E60E6AEC07C}">
      <dgm:prSet/>
      <dgm:spPr/>
    </dgm:pt>
    <dgm:pt modelId="{7323760A-CAC8-432D-A020-F77BFA77D735}" type="pres">
      <dgm:prSet presAssocID="{FF27429C-5B6E-468F-AF42-BE9281FF2A23}" presName="linear" presStyleCnt="0">
        <dgm:presLayoutVars>
          <dgm:dir/>
          <dgm:animLvl val="lvl"/>
          <dgm:resizeHandles val="exact"/>
        </dgm:presLayoutVars>
      </dgm:prSet>
      <dgm:spPr/>
    </dgm:pt>
    <dgm:pt modelId="{6E63B848-FDAE-4891-8566-8BE88B653316}" type="pres">
      <dgm:prSet presAssocID="{68DFCB13-F778-41C4-88A6-8A8793BBCF6B}" presName="parentLin" presStyleCnt="0"/>
      <dgm:spPr/>
    </dgm:pt>
    <dgm:pt modelId="{374EA5B0-C6AD-46BF-9645-7F0ED252FE66}" type="pres">
      <dgm:prSet presAssocID="{68DFCB13-F778-41C4-88A6-8A8793BBCF6B}" presName="parentLeftMargin" presStyleLbl="node1" presStyleIdx="0" presStyleCnt="1"/>
      <dgm:spPr/>
    </dgm:pt>
    <dgm:pt modelId="{377E1CD8-0067-463D-AA47-7581C029D7D4}" type="pres">
      <dgm:prSet presAssocID="{68DFCB13-F778-41C4-88A6-8A8793BBCF6B}" presName="parentText" presStyleLbl="node1" presStyleIdx="0" presStyleCnt="1" custScaleX="33793">
        <dgm:presLayoutVars>
          <dgm:chMax val="0"/>
          <dgm:bulletEnabled val="1"/>
        </dgm:presLayoutVars>
      </dgm:prSet>
      <dgm:spPr/>
    </dgm:pt>
    <dgm:pt modelId="{8C78493C-3C9C-4FDF-89DE-DDAC27488222}" type="pres">
      <dgm:prSet presAssocID="{68DFCB13-F778-41C4-88A6-8A8793BBCF6B}" presName="negativeSpace" presStyleCnt="0"/>
      <dgm:spPr/>
    </dgm:pt>
    <dgm:pt modelId="{1111B519-2F2F-4512-95FE-D2216303CCBE}" type="pres">
      <dgm:prSet presAssocID="{68DFCB13-F778-41C4-88A6-8A8793BBCF6B}" presName="childText" presStyleLbl="conFgAcc1" presStyleIdx="0" presStyleCnt="1" custScaleY="99330" custLinFactNeighborX="-1523" custLinFactNeighborY="1916">
        <dgm:presLayoutVars>
          <dgm:bulletEnabled val="1"/>
        </dgm:presLayoutVars>
      </dgm:prSet>
      <dgm:spPr/>
    </dgm:pt>
  </dgm:ptLst>
  <dgm:cxnLst>
    <dgm:cxn modelId="{69387103-3411-4A6C-B040-8EBB6BCB6A88}" type="presOf" srcId="{3CF91B55-1F75-4C87-9C67-A20C9FA05662}" destId="{1111B519-2F2F-4512-95FE-D2216303CCBE}" srcOrd="0" destOrd="3" presId="urn:microsoft.com/office/officeart/2005/8/layout/list1"/>
    <dgm:cxn modelId="{2B97E307-DDDC-45DC-9CA7-632648FED3B9}" type="presOf" srcId="{01C29C0B-230A-4A2F-B7AB-59E88CC6B709}" destId="{1111B519-2F2F-4512-95FE-D2216303CCBE}" srcOrd="0" destOrd="0" presId="urn:microsoft.com/office/officeart/2005/8/layout/list1"/>
    <dgm:cxn modelId="{E9E7F310-CA62-40CB-950B-C2B09700E887}" type="presOf" srcId="{FF27429C-5B6E-468F-AF42-BE9281FF2A23}" destId="{7323760A-CAC8-432D-A020-F77BFA77D735}" srcOrd="0" destOrd="0" presId="urn:microsoft.com/office/officeart/2005/8/layout/list1"/>
    <dgm:cxn modelId="{2C707029-5A0E-402A-B59F-EF340F2A4F9E}" type="presOf" srcId="{B3BD5EE0-8B02-47DD-9A82-259B22A65496}" destId="{1111B519-2F2F-4512-95FE-D2216303CCBE}" srcOrd="0" destOrd="8" presId="urn:microsoft.com/office/officeart/2005/8/layout/list1"/>
    <dgm:cxn modelId="{804E552C-050E-4FE3-9A89-FA56FE6F04DB}" srcId="{68DFCB13-F778-41C4-88A6-8A8793BBCF6B}" destId="{DDD57492-28E1-4534-8544-AE4C4F54393E}" srcOrd="4" destOrd="0" parTransId="{F4E1C6EE-CD86-4051-8C91-50C764FC2B3C}" sibTransId="{810108D9-3C67-4E9B-A016-62224098F996}"/>
    <dgm:cxn modelId="{EEF66A34-B4C1-4174-83EC-4C87C0DB31E8}" type="presOf" srcId="{DDD57492-28E1-4534-8544-AE4C4F54393E}" destId="{1111B519-2F2F-4512-95FE-D2216303CCBE}" srcOrd="0" destOrd="4" presId="urn:microsoft.com/office/officeart/2005/8/layout/list1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D2A05A42-79FB-4963-8B17-BF9A6786808F}" srcId="{68DFCB13-F778-41C4-88A6-8A8793BBCF6B}" destId="{C3D409E7-6B38-4B8B-8222-44C703F58D92}" srcOrd="2" destOrd="0" parTransId="{35E9F9E2-37BD-42CA-AB3F-4201DA8C5649}" sibTransId="{AC2A3F50-B651-4C05-9C8B-A8F890A72D73}"/>
    <dgm:cxn modelId="{CF9E1A65-553C-4315-9B4D-6922C5CF2185}" type="presOf" srcId="{68DFCB13-F778-41C4-88A6-8A8793BBCF6B}" destId="{377E1CD8-0067-463D-AA47-7581C029D7D4}" srcOrd="1" destOrd="0" presId="urn:microsoft.com/office/officeart/2005/8/layout/list1"/>
    <dgm:cxn modelId="{3B646E4E-A757-43B0-9D09-BAE2E05E5ACA}" srcId="{68DFCB13-F778-41C4-88A6-8A8793BBCF6B}" destId="{3CF91B55-1F75-4C87-9C67-A20C9FA05662}" srcOrd="3" destOrd="0" parTransId="{D8385961-8EAF-45B4-BEDD-9F02F740FFF8}" sibTransId="{3B565E79-6F22-4474-B8A9-856B312682A2}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85999478-29B4-46D0-A378-2630E510203B}" type="presOf" srcId="{6F8CBEB5-BD00-46A8-8598-53DD15BC0D05}" destId="{1111B519-2F2F-4512-95FE-D2216303CCBE}" srcOrd="0" destOrd="6" presId="urn:microsoft.com/office/officeart/2005/8/layout/list1"/>
    <dgm:cxn modelId="{3FDC437B-7FEB-4570-9F57-FAA88171B111}" type="presOf" srcId="{68DFCB13-F778-41C4-88A6-8A8793BBCF6B}" destId="{374EA5B0-C6AD-46BF-9645-7F0ED252FE66}" srcOrd="0" destOrd="0" presId="urn:microsoft.com/office/officeart/2005/8/layout/list1"/>
    <dgm:cxn modelId="{E97BC17C-ACE4-4BB7-BC2E-2E60E6AEC07C}" srcId="{68DFCB13-F778-41C4-88A6-8A8793BBCF6B}" destId="{453A4B04-F76E-490B-8F74-F2CEC3B8BB19}" srcOrd="7" destOrd="0" parTransId="{E8616642-9216-43BC-85CB-23782D39B7D5}" sibTransId="{0C3A3D81-03D4-41F0-9DDD-F21090510B7A}"/>
    <dgm:cxn modelId="{62A354C5-3414-40BA-AD2A-45FD81C86CE9}" srcId="{68DFCB13-F778-41C4-88A6-8A8793BBCF6B}" destId="{6F8CBEB5-BD00-46A8-8598-53DD15BC0D05}" srcOrd="6" destOrd="0" parTransId="{A6EB8F4D-3D4D-468C-8830-DEA557649AF4}" sibTransId="{0628C494-8642-43D7-B0AB-7759DCBF2D72}"/>
    <dgm:cxn modelId="{85A2A9D1-776F-461B-B5DF-FAD4A3C4D680}" srcId="{68DFCB13-F778-41C4-88A6-8A8793BBCF6B}" destId="{F66DA131-6178-426C-B996-591DEB09B7CB}" srcOrd="5" destOrd="0" parTransId="{CEF9C5CB-6317-4711-B2DE-3942A095800E}" sibTransId="{FC3858C3-5945-430C-BB96-A050D5CEC46F}"/>
    <dgm:cxn modelId="{DAA46AD6-6800-4619-A2CB-499FD1424CD7}" srcId="{68DFCB13-F778-41C4-88A6-8A8793BBCF6B}" destId="{8A074394-24C9-4417-B175-5B020C5132EE}" srcOrd="1" destOrd="0" parTransId="{DCE292B1-DDE6-4D66-AF9B-D8F09CB2C44B}" sibTransId="{BB78CF32-946E-44D8-A2CB-37AAD43DE337}"/>
    <dgm:cxn modelId="{B7CD85DB-3BC4-4CD4-9B17-43633D4795FD}" type="presOf" srcId="{C3D409E7-6B38-4B8B-8222-44C703F58D92}" destId="{1111B519-2F2F-4512-95FE-D2216303CCBE}" srcOrd="0" destOrd="2" presId="urn:microsoft.com/office/officeart/2005/8/layout/list1"/>
    <dgm:cxn modelId="{46B5D4E3-A1B8-446E-BF94-1D1B608BD025}" srcId="{68DFCB13-F778-41C4-88A6-8A8793BBCF6B}" destId="{B3BD5EE0-8B02-47DD-9A82-259B22A65496}" srcOrd="8" destOrd="0" parTransId="{C5714091-2FD7-45AB-996F-8D909E729D08}" sibTransId="{0927F4C2-33AC-47BA-87B1-9849DE2EA647}"/>
    <dgm:cxn modelId="{15195BEA-A48C-4BD1-BDAE-C543865F46DB}" type="presOf" srcId="{453A4B04-F76E-490B-8F74-F2CEC3B8BB19}" destId="{1111B519-2F2F-4512-95FE-D2216303CCBE}" srcOrd="0" destOrd="7" presId="urn:microsoft.com/office/officeart/2005/8/layout/list1"/>
    <dgm:cxn modelId="{CA8266EB-2064-4FDD-95F0-C82CE1121510}" type="presOf" srcId="{8A074394-24C9-4417-B175-5B020C5132EE}" destId="{1111B519-2F2F-4512-95FE-D2216303CCBE}" srcOrd="0" destOrd="1" presId="urn:microsoft.com/office/officeart/2005/8/layout/list1"/>
    <dgm:cxn modelId="{5046DFFC-77C3-490C-81E3-6B38AFE3D365}" type="presOf" srcId="{F66DA131-6178-426C-B996-591DEB09B7CB}" destId="{1111B519-2F2F-4512-95FE-D2216303CCBE}" srcOrd="0" destOrd="5" presId="urn:microsoft.com/office/officeart/2005/8/layout/list1"/>
    <dgm:cxn modelId="{4BC55A49-751C-408F-B176-B7C4C361EF7E}" type="presParOf" srcId="{7323760A-CAC8-432D-A020-F77BFA77D735}" destId="{6E63B848-FDAE-4891-8566-8BE88B653316}" srcOrd="0" destOrd="0" presId="urn:microsoft.com/office/officeart/2005/8/layout/list1"/>
    <dgm:cxn modelId="{168861B8-2B13-4D21-A0A3-3DF5AA125F21}" type="presParOf" srcId="{6E63B848-FDAE-4891-8566-8BE88B653316}" destId="{374EA5B0-C6AD-46BF-9645-7F0ED252FE66}" srcOrd="0" destOrd="0" presId="urn:microsoft.com/office/officeart/2005/8/layout/list1"/>
    <dgm:cxn modelId="{FD713377-EE71-47D7-9EBD-4A34BD75CF63}" type="presParOf" srcId="{6E63B848-FDAE-4891-8566-8BE88B653316}" destId="{377E1CD8-0067-463D-AA47-7581C029D7D4}" srcOrd="1" destOrd="0" presId="urn:microsoft.com/office/officeart/2005/8/layout/list1"/>
    <dgm:cxn modelId="{855C1ABF-EE0E-4368-AAF2-7D3585E239A5}" type="presParOf" srcId="{7323760A-CAC8-432D-A020-F77BFA77D735}" destId="{8C78493C-3C9C-4FDF-89DE-DDAC27488222}" srcOrd="1" destOrd="0" presId="urn:microsoft.com/office/officeart/2005/8/layout/list1"/>
    <dgm:cxn modelId="{680373E2-88CE-4642-9587-481CCEFD2578}" type="presParOf" srcId="{7323760A-CAC8-432D-A020-F77BFA77D735}" destId="{1111B519-2F2F-4512-95FE-D2216303CC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519-2F2F-4512-95FE-D2216303CCBE}">
      <dsp:nvSpPr>
        <dsp:cNvPr id="0" name=""/>
        <dsp:cNvSpPr/>
      </dsp:nvSpPr>
      <dsp:spPr>
        <a:xfrm>
          <a:off x="0" y="164167"/>
          <a:ext cx="5836919" cy="7103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3010" tIns="229108" rIns="4530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Hay una diferencia importante entre la definición de "ingreso" en la metodología nacional y los estandares internacionales.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 ingreso es un aumento del patrimonio neto como resultado de una transacción (MEFP 2014) </a:t>
          </a:r>
        </a:p>
      </dsp:txBody>
      <dsp:txXfrm>
        <a:off x="0" y="164167"/>
        <a:ext cx="5836919" cy="710325"/>
      </dsp:txXfrm>
    </dsp:sp>
    <dsp:sp modelId="{377E1CD8-0067-463D-AA47-7581C029D7D4}">
      <dsp:nvSpPr>
        <dsp:cNvPr id="0" name=""/>
        <dsp:cNvSpPr/>
      </dsp:nvSpPr>
      <dsp:spPr>
        <a:xfrm>
          <a:off x="291560" y="1807"/>
          <a:ext cx="1379380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435" tIns="0" rIns="15443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07412" y="17659"/>
        <a:ext cx="1347676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519-2F2F-4512-95FE-D2216303CCBE}">
      <dsp:nvSpPr>
        <dsp:cNvPr id="0" name=""/>
        <dsp:cNvSpPr/>
      </dsp:nvSpPr>
      <dsp:spPr>
        <a:xfrm>
          <a:off x="0" y="114959"/>
          <a:ext cx="5836919" cy="749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3010" tIns="145796" rIns="4530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Los "Gastos" en los estandares internacionales presentan mayores diferncias respecto a la información presentada  metodología nacional y es importante entender que estos no son comparables entre si.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 gasto es una disminución del patrimonio neto como resultado de una transacción (MEFP 2014) </a:t>
          </a:r>
        </a:p>
      </dsp:txBody>
      <dsp:txXfrm>
        <a:off x="0" y="114959"/>
        <a:ext cx="5836919" cy="749700"/>
      </dsp:txXfrm>
    </dsp:sp>
    <dsp:sp modelId="{377E1CD8-0067-463D-AA47-7581C029D7D4}">
      <dsp:nvSpPr>
        <dsp:cNvPr id="0" name=""/>
        <dsp:cNvSpPr/>
      </dsp:nvSpPr>
      <dsp:spPr>
        <a:xfrm>
          <a:off x="291560" y="11639"/>
          <a:ext cx="1379380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435" tIns="0" rIns="15443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01647" y="21726"/>
        <a:ext cx="1359206" cy="1864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519-2F2F-4512-95FE-D2216303CCBE}">
      <dsp:nvSpPr>
        <dsp:cNvPr id="0" name=""/>
        <dsp:cNvSpPr/>
      </dsp:nvSpPr>
      <dsp:spPr>
        <a:xfrm>
          <a:off x="0" y="164167"/>
          <a:ext cx="5836919" cy="7103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3010" tIns="229108" rIns="4530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Las transacciones en activos y pasivos no generan cambios en el patrimonio neto.</a:t>
          </a:r>
        </a:p>
      </dsp:txBody>
      <dsp:txXfrm>
        <a:off x="0" y="164167"/>
        <a:ext cx="5836919" cy="710325"/>
      </dsp:txXfrm>
    </dsp:sp>
    <dsp:sp modelId="{377E1CD8-0067-463D-AA47-7581C029D7D4}">
      <dsp:nvSpPr>
        <dsp:cNvPr id="0" name=""/>
        <dsp:cNvSpPr/>
      </dsp:nvSpPr>
      <dsp:spPr>
        <a:xfrm>
          <a:off x="291560" y="1807"/>
          <a:ext cx="1379380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435" tIns="0" rIns="15443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07412" y="17659"/>
        <a:ext cx="1347676" cy="2930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519-2F2F-4512-95FE-D2216303CCBE}">
      <dsp:nvSpPr>
        <dsp:cNvPr id="0" name=""/>
        <dsp:cNvSpPr/>
      </dsp:nvSpPr>
      <dsp:spPr>
        <a:xfrm>
          <a:off x="0" y="114959"/>
          <a:ext cx="5836919" cy="749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3010" tIns="145796" rIns="4530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 lo que en la metdología nacional se entiende por Gasto, sin embargo, poseen algunas diferencias leves.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internacionales, una erogación es la suma de los gastos y la inversión neta en activos no financieros (MEFP 2014) </a:t>
          </a:r>
        </a:p>
      </dsp:txBody>
      <dsp:txXfrm>
        <a:off x="0" y="114959"/>
        <a:ext cx="5836919" cy="749700"/>
      </dsp:txXfrm>
    </dsp:sp>
    <dsp:sp modelId="{377E1CD8-0067-463D-AA47-7581C029D7D4}">
      <dsp:nvSpPr>
        <dsp:cNvPr id="0" name=""/>
        <dsp:cNvSpPr/>
      </dsp:nvSpPr>
      <dsp:spPr>
        <a:xfrm>
          <a:off x="291560" y="11639"/>
          <a:ext cx="1379380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435" tIns="0" rIns="15443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01647" y="21726"/>
        <a:ext cx="1359206" cy="18646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519-2F2F-4512-95FE-D2216303CCBE}">
      <dsp:nvSpPr>
        <dsp:cNvPr id="0" name=""/>
        <dsp:cNvSpPr/>
      </dsp:nvSpPr>
      <dsp:spPr>
        <a:xfrm>
          <a:off x="0" y="73866"/>
          <a:ext cx="5836919" cy="17800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3010" tIns="163958" rIns="453010" bIns="7112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considerable entre el concepto de  resultado fiscal con metodología nacional y los estandares internaciones, lo cual hace que estos no sean perfectamente comparables.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estandres internacionales existen los siguientes indicadores fiscales: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1.) Resultado Operativo Neto (NOB) = </a:t>
          </a: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2.) Resultado Operativo Bruto (GOB) = </a:t>
          </a: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3.) Prestamo o Endeudamiento Neto (NLB) = </a:t>
          </a: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3866"/>
        <a:ext cx="5836919" cy="1780030"/>
      </dsp:txXfrm>
    </dsp:sp>
    <dsp:sp modelId="{377E1CD8-0067-463D-AA47-7581C029D7D4}">
      <dsp:nvSpPr>
        <dsp:cNvPr id="0" name=""/>
        <dsp:cNvSpPr/>
      </dsp:nvSpPr>
      <dsp:spPr>
        <a:xfrm>
          <a:off x="291560" y="1660"/>
          <a:ext cx="1379380" cy="14169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435" tIns="0" rIns="15443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298477" y="8577"/>
        <a:ext cx="1365546" cy="127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0.76563</cdr:x>
      <cdr:y>0.11613</cdr:y>
    </cdr:from>
    <cdr:to>
      <cdr:x>0.76823</cdr:x>
      <cdr:y>0.9129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2240280" y="274320"/>
          <a:ext cx="7620" cy="1882140"/>
        </a:xfrm>
        <a:prstGeom xmlns:a="http://schemas.openxmlformats.org/drawingml/2006/main" prst="line">
          <a:avLst/>
        </a:prstGeom>
        <a:ln xmlns:a="http://schemas.openxmlformats.org/drawingml/2006/main" w="28575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3727-DF7E-419C-9F38-299B3C4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las FinanzAs públicas</vt:lpstr>
    </vt:vector>
  </TitlesOfParts>
  <Company>Dirección de Análisis y Política Fiscal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FinanzAs públicas</dc:title>
  <dc:subject>Primer Trimestre</dc:subject>
  <dc:creator>DAPF</dc:creator>
  <cp:keywords/>
  <dc:description/>
  <cp:lastModifiedBy>Carlos Andrés Herrera Huard</cp:lastModifiedBy>
  <cp:revision>3</cp:revision>
  <cp:lastPrinted>2020-06-15T21:27:00Z</cp:lastPrinted>
  <dcterms:created xsi:type="dcterms:W3CDTF">2020-06-15T20:27:00Z</dcterms:created>
  <dcterms:modified xsi:type="dcterms:W3CDTF">2020-06-15T21:28:00Z</dcterms:modified>
  <cp:category>Ministerio de Finanzas Públicas</cp:category>
</cp:coreProperties>
</file>